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785637.xml.htm"/>
      <w:bookmarkStart w:id="1" w:name="kswkform4_179278563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Laguarta Ramon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PEPSICO,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ANDERSON HILL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PURCHASE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PEPSICO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PEP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22"/>
        <w:gridCol w:w="931"/>
        <w:gridCol w:w="799"/>
        <w:gridCol w:w="618"/>
        <w:gridCol w:w="345"/>
        <w:gridCol w:w="921"/>
        <w:gridCol w:w="427"/>
        <w:gridCol w:w="1104"/>
        <w:gridCol w:w="1129"/>
        <w:gridCol w:w="978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2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5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2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PepsiCo, Inc.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10/21/2026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135.1297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491,645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with respect to this transaction were sold at prices ranging from $135.0700 to $135.1900. Upon request, the reporting person will provide to the Securities and Exchange Commission staff, the Company, or a security holder of the Company,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Cynthia A. Nastanski,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30253" TargetMode="External"/><Relationship Id="rId5" Type="http://schemas.openxmlformats.org/officeDocument/2006/relationships/hyperlink" Target="http://www.sec.gov/cgi-bin/browse-edgar?action=getcompany&amp;CIK=00000774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619</Words>
  <Characters>3376</Characters>
  <CharactersWithSpaces>3926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