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June 13, 2026 (24 weeks)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80" w:after="283"/>
        <w:jc w:val="both"/>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180" w:after="283"/>
        <w:jc w:val="both"/>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1-1183</w:t>
      </w:r>
      <w:r>
        <w:rPr>
          <w:color w:val="000000"/>
        </w:rPr>
        <w:t xml:space="preserve"> </w:t>
      </w:r>
    </w:p>
    <w:p>
      <w:pPr>
        <w:pStyle w:val="TextBody"/>
        <w:bidi w:val="0"/>
        <w:spacing w:before="0" w:after="0"/>
        <w:jc w:val="center"/>
        <w:rPr/>
      </w:pPr>
      <w:r>
        <w:rPr/>
        <w:drawing>
          <wp:inline distT="0" distB="0" distL="0" distR="0">
            <wp:extent cx="2152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657225"/>
                    </a:xfrm>
                    <a:prstGeom prst="rect">
                      <a:avLst/>
                    </a:prstGeom>
                  </pic:spPr>
                </pic:pic>
              </a:graphicData>
            </a:graphic>
          </wp:inline>
        </w:drawing>
      </w:r>
      <w:bookmarkStart w:id="0" w:name="i-1"/>
      <w:bookmarkEnd w:id="0"/>
    </w:p>
    <w:tbl>
      <w:tblPr>
        <w:tblW w:w="1229" w:type="dxa"/>
        <w:jc w:val="center"/>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PepsiCo, Inc.</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86" w:type="dxa"/>
        <w:jc w:val="left"/>
        <w:tblInd w:w="0" w:type="dxa"/>
        <w:tblLayout w:type="fixed"/>
        <w:tblCellMar>
          <w:top w:w="28" w:type="dxa"/>
          <w:left w:w="28" w:type="dxa"/>
          <w:bottom w:w="28" w:type="dxa"/>
          <w:right w:w="28" w:type="dxa"/>
        </w:tblCellMar>
      </w:tblPr>
      <w:tblGrid>
        <w:gridCol w:w="944"/>
        <w:gridCol w:w="831"/>
        <w:gridCol w:w="835"/>
        <w:gridCol w:w="109"/>
        <w:gridCol w:w="109"/>
        <w:gridCol w:w="109"/>
        <w:gridCol w:w="481"/>
        <w:gridCol w:w="481"/>
        <w:gridCol w:w="687"/>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13-1584302</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700 Anderson Hill Road, Purchase, New York 10577 </w:t>
      </w:r>
    </w:p>
    <w:tbl>
      <w:tblPr>
        <w:tblW w:w="4499" w:type="dxa"/>
        <w:jc w:val="center"/>
        <w:tblInd w:w="0" w:type="dxa"/>
        <w:tblLayout w:type="fixed"/>
        <w:tblCellMar>
          <w:top w:w="28" w:type="dxa"/>
          <w:left w:w="28" w:type="dxa"/>
          <w:bottom w:w="28" w:type="dxa"/>
          <w:right w:w="28" w:type="dxa"/>
        </w:tblCellMar>
      </w:tblPr>
      <w:tblGrid>
        <w:gridCol w:w="1437"/>
        <w:gridCol w:w="1264"/>
        <w:gridCol w:w="1798"/>
      </w:tblGrid>
      <w:tr>
        <w:trP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345"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(914) 253-2000 </w:t>
      </w:r>
    </w:p>
    <w:tbl>
      <w:tblPr>
        <w:tblW w:w="4350" w:type="dxa"/>
        <w:jc w:val="center"/>
        <w:tblInd w:w="0" w:type="dxa"/>
        <w:tblLayout w:type="fixed"/>
        <w:tblCellMar>
          <w:top w:w="28" w:type="dxa"/>
          <w:left w:w="28" w:type="dxa"/>
          <w:bottom w:w="28" w:type="dxa"/>
          <w:right w:w="28" w:type="dxa"/>
        </w:tblCellMar>
      </w:tblPr>
      <w:tblGrid>
        <w:gridCol w:w="1391"/>
        <w:gridCol w:w="1224"/>
        <w:gridCol w:w="1735"/>
      </w:tblGrid>
      <w:tr>
        <w:trPr/>
        <w:tc>
          <w:tcPr>
            <w:tcW w:w="13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64" w:before="120" w:after="283"/>
        <w:jc w:val="center"/>
        <w:rPr>
          <w:rFonts w:ascii="Times New Roman;serif" w:hAnsi="Times New Roman;serif"/>
          <w:b w:val="false"/>
          <w:color w:val="000000"/>
          <w:sz w:val="20"/>
        </w:rPr>
      </w:pPr>
      <w:r>
        <w:rPr>
          <w:rFonts w:ascii="Times New Roman;serif" w:hAnsi="Times New Roman;serif"/>
          <w:b w:val="false"/>
          <w:color w:val="000000"/>
          <w:sz w:val="20"/>
        </w:rPr>
        <w:t>N/A</w:t>
      </w:r>
    </w:p>
    <w:tbl>
      <w:tblPr>
        <w:tblW w:w="7095" w:type="dxa"/>
        <w:jc w:val="center"/>
        <w:tblInd w:w="0" w:type="dxa"/>
        <w:tblLayout w:type="fixed"/>
        <w:tblCellMar>
          <w:top w:w="28" w:type="dxa"/>
          <w:left w:w="28" w:type="dxa"/>
          <w:bottom w:w="28" w:type="dxa"/>
          <w:right w:w="28" w:type="dxa"/>
        </w:tblCellMar>
      </w:tblPr>
      <w:tblGrid>
        <w:gridCol w:w="2268"/>
        <w:gridCol w:w="1992"/>
        <w:gridCol w:w="2835"/>
      </w:tblGrid>
      <w:tr>
        <w:trPr/>
        <w:tc>
          <w:tcPr>
            <w:tcW w:w="226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before="120" w:after="12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tbl>
      <w:tblPr>
        <w:tblW w:w="9983" w:type="dxa"/>
        <w:jc w:val="center"/>
        <w:tblInd w:w="0" w:type="dxa"/>
        <w:tblLayout w:type="fixed"/>
        <w:tblCellMar>
          <w:top w:w="28" w:type="dxa"/>
          <w:left w:w="28" w:type="dxa"/>
          <w:bottom w:w="28" w:type="dxa"/>
          <w:right w:w="28" w:type="dxa"/>
        </w:tblCellMar>
      </w:tblPr>
      <w:tblGrid>
        <w:gridCol w:w="1420"/>
        <w:gridCol w:w="1248"/>
        <w:gridCol w:w="1262"/>
        <w:gridCol w:w="109"/>
        <w:gridCol w:w="109"/>
        <w:gridCol w:w="109"/>
        <w:gridCol w:w="524"/>
        <w:gridCol w:w="524"/>
        <w:gridCol w:w="526"/>
        <w:gridCol w:w="109"/>
        <w:gridCol w:w="109"/>
        <w:gridCol w:w="109"/>
        <w:gridCol w:w="1118"/>
        <w:gridCol w:w="1118"/>
        <w:gridCol w:w="158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1-2/3 cents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Floating Rate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 Senior Notes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 Senior Notes Due 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 Senior Notes Due 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4.050% Senior Notes Due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20" w:after="283"/>
        <w:jc w:val="both"/>
        <w:rPr/>
      </w:pPr>
      <w:r>
        <w:rPr/>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Number of shares of Common Stock outstanding as of July 2, 2026 was 1,364,891,558.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PepsiCo,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85"/>
        <w:gridCol w:w="417"/>
        <w:gridCol w:w="417"/>
        <w:gridCol w:w="2619"/>
        <w:gridCol w:w="2594"/>
        <w:gridCol w:w="2634"/>
        <w:gridCol w:w="303"/>
        <w:gridCol w:w="303"/>
        <w:gridCol w:w="433"/>
      </w:tblGrid>
      <w:tr>
        <w:trPr/>
        <w:tc>
          <w:tcPr>
            <w:tcW w:w="48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 No.</w:t>
            </w:r>
          </w:p>
        </w:tc>
      </w:tr>
      <w:tr>
        <w:trPr/>
        <w:tc>
          <w:tcPr>
            <w:tcW w:w="91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Part I Financial Information</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1.</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Condensed Consolidated Financial Statements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16">
              <w:r>
                <w:rPr>
                  <w:rStyle w:val="InternetLink"/>
                  <w:rFonts w:ascii="Times New Roman;serif" w:hAnsi="Times New Roman;serif"/>
                  <w:b w:val="false"/>
                  <w:color w:val="0000FF"/>
                  <w:sz w:val="24"/>
                  <w:u w:val="single"/>
                </w:rPr>
                <w:t>2</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19">
              <w:r>
                <w:rPr>
                  <w:rStyle w:val="InternetLink"/>
                  <w:rFonts w:ascii="Times New Roman;serif" w:hAnsi="Times New Roman;serif"/>
                  <w:b w:val="false"/>
                  <w:color w:val="0000FF"/>
                  <w:sz w:val="24"/>
                  <w:u w:val="single"/>
                </w:rPr>
                <w:t xml:space="preserve">Condensed Consolidated Statement of Income – </w:t>
              </w:r>
            </w:hyperlink>
            <w:r>
              <w:rPr>
                <w:rFonts w:ascii="Times New Roman;serif" w:hAnsi="Times New Roman;serif"/>
                <w:b w:val="false"/>
                <w:color w:val="000000"/>
                <w:sz w:val="24"/>
              </w:rPr>
              <w:br/>
            </w:r>
            <w:hyperlink w:anchor="i7b2f326cd8aa4e46bb42b0652e9e8463_19">
              <w:r>
                <w:rPr>
                  <w:rStyle w:val="InternetLink"/>
                  <w:rFonts w:ascii="Times New Roman;serif" w:hAnsi="Times New Roman;serif"/>
                  <w:b w:val="false"/>
                  <w:color w:val="000080"/>
                  <w:sz w:val="24"/>
                  <w:u w:val="single"/>
                </w:rPr>
                <w:t xml:space="preserve">12 </w:t>
              </w:r>
            </w:hyperlink>
            <w:hyperlink w:anchor="i7b2f326cd8aa4e46bb42b0652e9e8463_19">
              <w:r>
                <w:rPr>
                  <w:rStyle w:val="InternetLink"/>
                  <w:rFonts w:ascii="Times New Roman;serif" w:hAnsi="Times New Roman;serif"/>
                  <w:b w:val="false"/>
                  <w:color w:val="000080"/>
                  <w:sz w:val="24"/>
                  <w:u w:val="single"/>
                </w:rPr>
                <w:t xml:space="preserve">and 24 </w:t>
              </w:r>
            </w:hyperlink>
            <w:hyperlink w:anchor="i7b2f326cd8aa4e46bb42b0652e9e8463_19">
              <w:r>
                <w:rPr>
                  <w:rStyle w:val="InternetLink"/>
                  <w:rFonts w:ascii="Times New Roman;serif" w:hAnsi="Times New Roman;serif"/>
                  <w:b w:val="false"/>
                  <w:color w:val="000080"/>
                  <w:sz w:val="24"/>
                  <w:u w:val="single"/>
                </w:rPr>
                <w:t xml:space="preserve">Weeks Ended </w:t>
              </w:r>
            </w:hyperlink>
            <w:hyperlink w:anchor="i7b2f326cd8aa4e46bb42b0652e9e8463_19">
              <w:r>
                <w:rPr>
                  <w:rStyle w:val="InternetLink"/>
                  <w:rFonts w:ascii="Times New Roman;serif" w:hAnsi="Times New Roman;serif"/>
                  <w:b w:val="false"/>
                  <w:color w:val="000080"/>
                  <w:sz w:val="24"/>
                  <w:u w:val="single"/>
                </w:rPr>
                <w:t xml:space="preserve">June </w:t>
              </w:r>
            </w:hyperlink>
            <w:hyperlink w:anchor="i7b2f326cd8aa4e46bb42b0652e9e8463_19">
              <w:r>
                <w:rPr>
                  <w:rStyle w:val="InternetLink"/>
                  <w:rFonts w:ascii="Times New Roman;serif" w:hAnsi="Times New Roman;serif"/>
                  <w:b w:val="false"/>
                  <w:color w:val="000080"/>
                  <w:sz w:val="24"/>
                  <w:u w:val="single"/>
                </w:rPr>
                <w:t>1</w:t>
              </w:r>
            </w:hyperlink>
            <w:hyperlink w:anchor="i7b2f326cd8aa4e46bb42b0652e9e8463_19">
              <w:r>
                <w:rPr>
                  <w:rStyle w:val="InternetLink"/>
                  <w:rFonts w:ascii="Times New Roman;serif" w:hAnsi="Times New Roman;serif"/>
                  <w:b w:val="false"/>
                  <w:color w:val="000080"/>
                  <w:sz w:val="24"/>
                  <w:u w:val="single"/>
                </w:rPr>
                <w:t>3</w:t>
              </w:r>
            </w:hyperlink>
            <w:hyperlink w:anchor="i7b2f326cd8aa4e46bb42b0652e9e8463_19">
              <w:r>
                <w:rPr>
                  <w:rStyle w:val="InternetLink"/>
                  <w:rFonts w:ascii="Times New Roman;serif" w:hAnsi="Times New Roman;serif"/>
                  <w:b w:val="false"/>
                  <w:color w:val="000080"/>
                  <w:sz w:val="24"/>
                  <w:u w:val="single"/>
                </w:rPr>
                <w:t>, 2026</w:t>
              </w:r>
            </w:hyperlink>
            <w:r>
              <w:rPr>
                <w:color w:val="000000"/>
              </w:rPr>
              <w:t xml:space="preserve"> </w:t>
            </w:r>
            <w:hyperlink w:anchor="i7b2f326cd8aa4e46bb42b0652e9e8463_25">
              <w:r>
                <w:rPr>
                  <w:rStyle w:val="InternetLink"/>
                  <w:rFonts w:ascii="Times New Roman;serif" w:hAnsi="Times New Roman;serif"/>
                  <w:b w:val="false"/>
                  <w:color w:val="000080"/>
                  <w:sz w:val="24"/>
                  <w:u w:val="single"/>
                </w:rPr>
                <w:t xml:space="preserve">and </w:t>
              </w:r>
            </w:hyperlink>
            <w:hyperlink w:anchor="i7b2f326cd8aa4e46bb42b0652e9e8463_25">
              <w:r>
                <w:rPr>
                  <w:rStyle w:val="InternetLink"/>
                  <w:rFonts w:ascii="Times New Roman;serif" w:hAnsi="Times New Roman;serif"/>
                  <w:b w:val="false"/>
                  <w:color w:val="000080"/>
                  <w:sz w:val="24"/>
                  <w:u w:val="single"/>
                </w:rPr>
                <w:t>June</w:t>
              </w:r>
            </w:hyperlink>
            <w:hyperlink w:anchor="i7b2f326cd8aa4e46bb42b0652e9e8463_25">
              <w:r>
                <w:rPr>
                  <w:rStyle w:val="InternetLink"/>
                  <w:rFonts w:ascii="Times New Roman;serif" w:hAnsi="Times New Roman;serif"/>
                  <w:b w:val="false"/>
                  <w:color w:val="000080"/>
                  <w:sz w:val="24"/>
                  <w:u w:val="single"/>
                </w:rPr>
                <w:t xml:space="preserve"> </w:t>
              </w:r>
            </w:hyperlink>
            <w:hyperlink w:anchor="i7b2f326cd8aa4e46bb42b0652e9e8463_25">
              <w:r>
                <w:rPr>
                  <w:rStyle w:val="InternetLink"/>
                  <w:rFonts w:ascii="Times New Roman;serif" w:hAnsi="Times New Roman;serif"/>
                  <w:b w:val="false"/>
                  <w:color w:val="000080"/>
                  <w:sz w:val="24"/>
                  <w:u w:val="single"/>
                </w:rPr>
                <w:t>14</w:t>
              </w:r>
            </w:hyperlink>
            <w:hyperlink w:anchor="i7b2f326cd8aa4e46bb42b0652e9e8463_25">
              <w:r>
                <w:rPr>
                  <w:rStyle w:val="InternetLink"/>
                  <w:rFonts w:ascii="Times New Roman;serif" w:hAnsi="Times New Roman;serif"/>
                  <w:b w:val="false"/>
                  <w:color w:val="000080"/>
                  <w:sz w:val="24"/>
                  <w:u w:val="single"/>
                </w:rPr>
                <w:t>, 2025</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19">
              <w:r>
                <w:rPr>
                  <w:rStyle w:val="InternetLink"/>
                  <w:rFonts w:ascii="Times New Roman;serif" w:hAnsi="Times New Roman;serif"/>
                  <w:b w:val="false"/>
                  <w:color w:val="0000FF"/>
                  <w:sz w:val="24"/>
                  <w:u w:val="single"/>
                </w:rPr>
                <w:t>2</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2">
              <w:r>
                <w:rPr>
                  <w:rStyle w:val="InternetLink"/>
                  <w:rFonts w:ascii="Times New Roman;serif" w:hAnsi="Times New Roman;serif"/>
                  <w:b w:val="false"/>
                  <w:color w:val="0000FF"/>
                  <w:sz w:val="24"/>
                  <w:u w:val="single"/>
                </w:rPr>
                <w:t>Condensed Consolidated Statement of Comprehensive Income –</w:t>
              </w:r>
            </w:hyperlink>
            <w:r>
              <w:rPr>
                <w:rFonts w:ascii="Times New Roman;serif" w:hAnsi="Times New Roman;serif"/>
                <w:b w:val="false"/>
                <w:color w:val="000000"/>
                <w:sz w:val="24"/>
              </w:rPr>
              <w:br/>
            </w:r>
            <w:hyperlink w:anchor="i7b2f326cd8aa4e46bb42b0652e9e8463_19">
              <w:r>
                <w:rPr>
                  <w:rStyle w:val="InternetLink"/>
                  <w:rFonts w:ascii="Times New Roman;serif" w:hAnsi="Times New Roman;serif"/>
                  <w:b w:val="false"/>
                  <w:color w:val="000080"/>
                  <w:sz w:val="24"/>
                  <w:u w:val="single"/>
                </w:rPr>
                <w:t>12</w:t>
              </w:r>
            </w:hyperlink>
            <w:hyperlink w:anchor="i7b2f326cd8aa4e46bb42b0652e9e8463_22">
              <w:r>
                <w:rPr>
                  <w:rStyle w:val="InternetLink"/>
                  <w:rFonts w:ascii="Times New Roman;serif" w:hAnsi="Times New Roman;serif"/>
                  <w:b w:val="false"/>
                  <w:color w:val="000080"/>
                  <w:sz w:val="24"/>
                  <w:u w:val="single"/>
                </w:rPr>
                <w:t xml:space="preserve"> </w:t>
              </w:r>
            </w:hyperlink>
            <w:hyperlink w:anchor="i7b2f326cd8aa4e46bb42b0652e9e8463_22">
              <w:r>
                <w:rPr>
                  <w:rStyle w:val="InternetLink"/>
                  <w:rFonts w:ascii="Times New Roman;serif" w:hAnsi="Times New Roman;serif"/>
                  <w:b w:val="false"/>
                  <w:color w:val="000080"/>
                  <w:sz w:val="24"/>
                  <w:u w:val="single"/>
                </w:rPr>
                <w:t xml:space="preserve">and 24 </w:t>
              </w:r>
            </w:hyperlink>
            <w:hyperlink w:anchor="i7b2f326cd8aa4e46bb42b0652e9e8463_22">
              <w:r>
                <w:rPr>
                  <w:rStyle w:val="InternetLink"/>
                  <w:rFonts w:ascii="Times New Roman;serif" w:hAnsi="Times New Roman;serif"/>
                  <w:b w:val="false"/>
                  <w:color w:val="000080"/>
                  <w:sz w:val="24"/>
                  <w:u w:val="single"/>
                </w:rPr>
                <w:t xml:space="preserve">Weeks Ended </w:t>
              </w:r>
            </w:hyperlink>
            <w:hyperlink w:anchor="i7b2f326cd8aa4e46bb42b0652e9e8463_19">
              <w:r>
                <w:rPr>
                  <w:rStyle w:val="InternetLink"/>
                  <w:rFonts w:ascii="Times New Roman;serif" w:hAnsi="Times New Roman;serif"/>
                  <w:b w:val="false"/>
                  <w:color w:val="000080"/>
                  <w:sz w:val="24"/>
                  <w:u w:val="single"/>
                </w:rPr>
                <w:t>June</w:t>
              </w:r>
            </w:hyperlink>
            <w:hyperlink w:anchor="i7b2f326cd8aa4e46bb42b0652e9e8463_19">
              <w:r>
                <w:rPr>
                  <w:rStyle w:val="InternetLink"/>
                  <w:rFonts w:ascii="Times New Roman;serif" w:hAnsi="Times New Roman;serif"/>
                  <w:b w:val="false"/>
                  <w:color w:val="000080"/>
                  <w:sz w:val="24"/>
                  <w:u w:val="single"/>
                </w:rPr>
                <w:t xml:space="preserve"> </w:t>
              </w:r>
            </w:hyperlink>
            <w:hyperlink w:anchor="i7b2f326cd8aa4e46bb42b0652e9e8463_19">
              <w:r>
                <w:rPr>
                  <w:rStyle w:val="InternetLink"/>
                  <w:rFonts w:ascii="Times New Roman;serif" w:hAnsi="Times New Roman;serif"/>
                  <w:b w:val="false"/>
                  <w:color w:val="000080"/>
                  <w:sz w:val="24"/>
                  <w:u w:val="single"/>
                </w:rPr>
                <w:t>13</w:t>
              </w:r>
            </w:hyperlink>
            <w:hyperlink w:anchor="i7b2f326cd8aa4e46bb42b0652e9e8463_19">
              <w:r>
                <w:rPr>
                  <w:rStyle w:val="InternetLink"/>
                  <w:rFonts w:ascii="Times New Roman;serif" w:hAnsi="Times New Roman;serif"/>
                  <w:b w:val="false"/>
                  <w:color w:val="000080"/>
                  <w:sz w:val="24"/>
                  <w:u w:val="single"/>
                </w:rPr>
                <w:t>, 2026</w:t>
              </w:r>
            </w:hyperlink>
            <w:hyperlink w:anchor="i7b2f326cd8aa4e46bb42b0652e9e8463_25">
              <w:r>
                <w:rPr>
                  <w:rStyle w:val="InternetLink"/>
                  <w:rFonts w:ascii="Times New Roman;serif" w:hAnsi="Times New Roman;serif"/>
                  <w:b w:val="false"/>
                  <w:color w:val="000080"/>
                  <w:sz w:val="24"/>
                  <w:u w:val="single"/>
                </w:rPr>
                <w:t xml:space="preserve"> and </w:t>
              </w:r>
            </w:hyperlink>
            <w:hyperlink w:anchor="i7b2f326cd8aa4e46bb42b0652e9e8463_25">
              <w:r>
                <w:rPr>
                  <w:rStyle w:val="InternetLink"/>
                  <w:rFonts w:ascii="Times New Roman;serif" w:hAnsi="Times New Roman;serif"/>
                  <w:b w:val="false"/>
                  <w:color w:val="000080"/>
                  <w:sz w:val="24"/>
                  <w:u w:val="single"/>
                </w:rPr>
                <w:t>June</w:t>
              </w:r>
            </w:hyperlink>
            <w:hyperlink w:anchor="i7b2f326cd8aa4e46bb42b0652e9e8463_25">
              <w:r>
                <w:rPr>
                  <w:rStyle w:val="InternetLink"/>
                  <w:rFonts w:ascii="Times New Roman;serif" w:hAnsi="Times New Roman;serif"/>
                  <w:b w:val="false"/>
                  <w:color w:val="000080"/>
                  <w:sz w:val="24"/>
                  <w:u w:val="single"/>
                </w:rPr>
                <w:t xml:space="preserve"> </w:t>
              </w:r>
            </w:hyperlink>
            <w:hyperlink w:anchor="i7b2f326cd8aa4e46bb42b0652e9e8463_25">
              <w:r>
                <w:rPr>
                  <w:rStyle w:val="InternetLink"/>
                  <w:rFonts w:ascii="Times New Roman;serif" w:hAnsi="Times New Roman;serif"/>
                  <w:b w:val="false"/>
                  <w:color w:val="000080"/>
                  <w:sz w:val="24"/>
                  <w:u w:val="single"/>
                </w:rPr>
                <w:t>14</w:t>
              </w:r>
            </w:hyperlink>
            <w:hyperlink w:anchor="i7b2f326cd8aa4e46bb42b0652e9e8463_25">
              <w:r>
                <w:rPr>
                  <w:rStyle w:val="InternetLink"/>
                  <w:rFonts w:ascii="Times New Roman;serif" w:hAnsi="Times New Roman;serif"/>
                  <w:b w:val="false"/>
                  <w:color w:val="000080"/>
                  <w:sz w:val="24"/>
                  <w:u w:val="single"/>
                </w:rPr>
                <w:t>, 2025</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2">
              <w:r>
                <w:rPr>
                  <w:rStyle w:val="InternetLink"/>
                  <w:rFonts w:ascii="Times New Roman;serif" w:hAnsi="Times New Roman;serif"/>
                  <w:b w:val="false"/>
                  <w:color w:val="0000FF"/>
                  <w:sz w:val="24"/>
                  <w:u w:val="single"/>
                </w:rPr>
                <w:t>3</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5">
              <w:r>
                <w:rPr>
                  <w:rStyle w:val="InternetLink"/>
                  <w:rFonts w:ascii="Times New Roman;serif" w:hAnsi="Times New Roman;serif"/>
                  <w:b w:val="false"/>
                  <w:color w:val="0000FF"/>
                  <w:sz w:val="24"/>
                  <w:u w:val="single"/>
                </w:rPr>
                <w:t>Condensed Consolidated Statement of Cash Flows –</w:t>
              </w:r>
            </w:hyperlink>
            <w:r>
              <w:rPr>
                <w:rFonts w:ascii="Times New Roman;serif" w:hAnsi="Times New Roman;serif"/>
                <w:b w:val="false"/>
                <w:color w:val="000000"/>
                <w:sz w:val="24"/>
              </w:rPr>
              <w:br/>
            </w:r>
            <w:hyperlink w:anchor="i7b2f326cd8aa4e46bb42b0652e9e8463_25">
              <w:r>
                <w:rPr>
                  <w:rStyle w:val="InternetLink"/>
                  <w:rFonts w:ascii="Times New Roman;serif" w:hAnsi="Times New Roman;serif"/>
                  <w:b w:val="false"/>
                  <w:color w:val="000080"/>
                  <w:sz w:val="24"/>
                  <w:u w:val="single"/>
                </w:rPr>
                <w:t xml:space="preserve">24 </w:t>
              </w:r>
            </w:hyperlink>
            <w:hyperlink w:anchor="i7b2f326cd8aa4e46bb42b0652e9e8463_25">
              <w:r>
                <w:rPr>
                  <w:rStyle w:val="InternetLink"/>
                  <w:rFonts w:ascii="Times New Roman;serif" w:hAnsi="Times New Roman;serif"/>
                  <w:b w:val="false"/>
                  <w:color w:val="000080"/>
                  <w:sz w:val="24"/>
                  <w:u w:val="single"/>
                </w:rPr>
                <w:t xml:space="preserve">Weeks Ended </w:t>
              </w:r>
            </w:hyperlink>
            <w:hyperlink w:anchor="i7b2f326cd8aa4e46bb42b0652e9e8463_19">
              <w:r>
                <w:rPr>
                  <w:rStyle w:val="InternetLink"/>
                  <w:rFonts w:ascii="Times New Roman;serif" w:hAnsi="Times New Roman;serif"/>
                  <w:b w:val="false"/>
                  <w:color w:val="000080"/>
                  <w:sz w:val="24"/>
                  <w:u w:val="single"/>
                </w:rPr>
                <w:t>June</w:t>
              </w:r>
            </w:hyperlink>
            <w:hyperlink w:anchor="i7b2f326cd8aa4e46bb42b0652e9e8463_19">
              <w:r>
                <w:rPr>
                  <w:rStyle w:val="InternetLink"/>
                  <w:rFonts w:ascii="Times New Roman;serif" w:hAnsi="Times New Roman;serif"/>
                  <w:b w:val="false"/>
                  <w:color w:val="000080"/>
                  <w:sz w:val="24"/>
                  <w:u w:val="single"/>
                </w:rPr>
                <w:t xml:space="preserve"> </w:t>
              </w:r>
            </w:hyperlink>
            <w:hyperlink w:anchor="i7b2f326cd8aa4e46bb42b0652e9e8463_19">
              <w:r>
                <w:rPr>
                  <w:rStyle w:val="InternetLink"/>
                  <w:rFonts w:ascii="Times New Roman;serif" w:hAnsi="Times New Roman;serif"/>
                  <w:b w:val="false"/>
                  <w:color w:val="000080"/>
                  <w:sz w:val="24"/>
                  <w:u w:val="single"/>
                </w:rPr>
                <w:t>13</w:t>
              </w:r>
            </w:hyperlink>
            <w:hyperlink w:anchor="i7b2f326cd8aa4e46bb42b0652e9e8463_19">
              <w:r>
                <w:rPr>
                  <w:rStyle w:val="InternetLink"/>
                  <w:rFonts w:ascii="Times New Roman;serif" w:hAnsi="Times New Roman;serif"/>
                  <w:b w:val="false"/>
                  <w:color w:val="000080"/>
                  <w:sz w:val="24"/>
                  <w:u w:val="single"/>
                </w:rPr>
                <w:t>, 2026</w:t>
              </w:r>
            </w:hyperlink>
            <w:hyperlink w:anchor="i7b2f326cd8aa4e46bb42b0652e9e8463_25">
              <w:r>
                <w:rPr>
                  <w:rStyle w:val="InternetLink"/>
                  <w:rFonts w:ascii="Times New Roman;serif" w:hAnsi="Times New Roman;serif"/>
                  <w:b w:val="false"/>
                  <w:color w:val="000080"/>
                  <w:sz w:val="24"/>
                  <w:u w:val="single"/>
                </w:rPr>
                <w:t xml:space="preserve"> and</w:t>
              </w:r>
            </w:hyperlink>
            <w:hyperlink w:anchor="i7b2f326cd8aa4e46bb42b0652e9e8463_25">
              <w:r>
                <w:rPr>
                  <w:rStyle w:val="InternetLink"/>
                  <w:rFonts w:ascii="Times New Roman;serif" w:hAnsi="Times New Roman;serif"/>
                  <w:b w:val="false"/>
                  <w:color w:val="000080"/>
                  <w:sz w:val="24"/>
                  <w:u w:val="single"/>
                </w:rPr>
                <w:t xml:space="preserve"> </w:t>
              </w:r>
            </w:hyperlink>
            <w:hyperlink w:anchor="i7b2f326cd8aa4e46bb42b0652e9e8463_25">
              <w:r>
                <w:rPr>
                  <w:rStyle w:val="InternetLink"/>
                  <w:rFonts w:ascii="Times New Roman;serif" w:hAnsi="Times New Roman;serif"/>
                  <w:b w:val="false"/>
                  <w:color w:val="000080"/>
                  <w:sz w:val="24"/>
                  <w:u w:val="single"/>
                </w:rPr>
                <w:t>Ju</w:t>
              </w:r>
            </w:hyperlink>
            <w:hyperlink w:anchor="i7b2f326cd8aa4e46bb42b0652e9e8463_25">
              <w:r>
                <w:rPr>
                  <w:rStyle w:val="InternetLink"/>
                  <w:rFonts w:ascii="Times New Roman;serif" w:hAnsi="Times New Roman;serif"/>
                  <w:b w:val="false"/>
                  <w:color w:val="000080"/>
                  <w:sz w:val="24"/>
                  <w:u w:val="single"/>
                </w:rPr>
                <w:t>ne</w:t>
              </w:r>
            </w:hyperlink>
            <w:hyperlink w:anchor="i7b2f326cd8aa4e46bb42b0652e9e8463_25">
              <w:r>
                <w:rPr>
                  <w:rStyle w:val="InternetLink"/>
                  <w:rFonts w:ascii="Times New Roman;serif" w:hAnsi="Times New Roman;serif"/>
                  <w:b w:val="false"/>
                  <w:color w:val="000080"/>
                  <w:sz w:val="24"/>
                  <w:u w:val="single"/>
                </w:rPr>
                <w:t xml:space="preserve"> </w:t>
              </w:r>
            </w:hyperlink>
            <w:hyperlink w:anchor="i7b2f326cd8aa4e46bb42b0652e9e8463_25">
              <w:r>
                <w:rPr>
                  <w:rStyle w:val="InternetLink"/>
                  <w:rFonts w:ascii="Times New Roman;serif" w:hAnsi="Times New Roman;serif"/>
                  <w:b w:val="false"/>
                  <w:color w:val="000080"/>
                  <w:sz w:val="24"/>
                  <w:u w:val="single"/>
                </w:rPr>
                <w:t>1</w:t>
              </w:r>
            </w:hyperlink>
            <w:hyperlink w:anchor="i7b2f326cd8aa4e46bb42b0652e9e8463_25">
              <w:r>
                <w:rPr>
                  <w:rStyle w:val="InternetLink"/>
                  <w:rFonts w:ascii="Times New Roman;serif" w:hAnsi="Times New Roman;serif"/>
                  <w:b w:val="false"/>
                  <w:color w:val="000080"/>
                  <w:sz w:val="24"/>
                  <w:u w:val="single"/>
                </w:rPr>
                <w:t>4</w:t>
              </w:r>
            </w:hyperlink>
            <w:hyperlink w:anchor="i7b2f326cd8aa4e46bb42b0652e9e8463_25">
              <w:r>
                <w:rPr>
                  <w:rStyle w:val="InternetLink"/>
                  <w:rFonts w:ascii="Times New Roman;serif" w:hAnsi="Times New Roman;serif"/>
                  <w:b w:val="false"/>
                  <w:color w:val="000080"/>
                  <w:sz w:val="24"/>
                  <w:u w:val="single"/>
                </w:rPr>
                <w:t>, 2025</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5">
              <w:r>
                <w:rPr>
                  <w:rStyle w:val="InternetLink"/>
                  <w:rFonts w:ascii="Times New Roman;serif" w:hAnsi="Times New Roman;serif"/>
                  <w:b w:val="false"/>
                  <w:color w:val="0000FF"/>
                  <w:sz w:val="24"/>
                  <w:u w:val="single"/>
                </w:rPr>
                <w:t>4</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8">
              <w:r>
                <w:rPr>
                  <w:rStyle w:val="InternetLink"/>
                  <w:rFonts w:ascii="Times New Roman;serif" w:hAnsi="Times New Roman;serif"/>
                  <w:b w:val="false"/>
                  <w:color w:val="0000FF"/>
                  <w:sz w:val="24"/>
                  <w:u w:val="single"/>
                </w:rPr>
                <w:t>Condensed Consolidated Balance Sheet –</w:t>
              </w:r>
            </w:hyperlink>
            <w:r>
              <w:rPr>
                <w:rFonts w:ascii="Times New Roman;serif" w:hAnsi="Times New Roman;serif"/>
                <w:b w:val="false"/>
                <w:color w:val="000000"/>
                <w:sz w:val="24"/>
              </w:rPr>
              <w:br/>
            </w:r>
            <w:hyperlink w:anchor="i7b2f326cd8aa4e46bb42b0652e9e8463_19">
              <w:r>
                <w:rPr>
                  <w:rStyle w:val="InternetLink"/>
                  <w:rFonts w:ascii="Times New Roman;serif" w:hAnsi="Times New Roman;serif"/>
                  <w:b w:val="false"/>
                  <w:color w:val="000080"/>
                  <w:sz w:val="24"/>
                  <w:u w:val="single"/>
                </w:rPr>
                <w:t>June</w:t>
              </w:r>
            </w:hyperlink>
            <w:hyperlink w:anchor="i7b2f326cd8aa4e46bb42b0652e9e8463_19">
              <w:r>
                <w:rPr>
                  <w:rStyle w:val="InternetLink"/>
                  <w:rFonts w:ascii="Times New Roman;serif" w:hAnsi="Times New Roman;serif"/>
                  <w:b w:val="false"/>
                  <w:color w:val="000080"/>
                  <w:sz w:val="24"/>
                  <w:u w:val="single"/>
                </w:rPr>
                <w:t xml:space="preserve"> </w:t>
              </w:r>
            </w:hyperlink>
            <w:hyperlink w:anchor="i7b2f326cd8aa4e46bb42b0652e9e8463_19">
              <w:r>
                <w:rPr>
                  <w:rStyle w:val="InternetLink"/>
                  <w:rFonts w:ascii="Times New Roman;serif" w:hAnsi="Times New Roman;serif"/>
                  <w:b w:val="false"/>
                  <w:color w:val="000080"/>
                  <w:sz w:val="24"/>
                  <w:u w:val="single"/>
                </w:rPr>
                <w:t>13</w:t>
              </w:r>
            </w:hyperlink>
            <w:hyperlink w:anchor="i7b2f326cd8aa4e46bb42b0652e9e8463_19">
              <w:r>
                <w:rPr>
                  <w:rStyle w:val="InternetLink"/>
                  <w:rFonts w:ascii="Times New Roman;serif" w:hAnsi="Times New Roman;serif"/>
                  <w:b w:val="false"/>
                  <w:color w:val="000080"/>
                  <w:sz w:val="24"/>
                  <w:u w:val="single"/>
                </w:rPr>
                <w:t>, 2026</w:t>
              </w:r>
            </w:hyperlink>
            <w:hyperlink w:anchor="i7b2f326cd8aa4e46bb42b0652e9e8463_28">
              <w:r>
                <w:rPr>
                  <w:rStyle w:val="InternetLink"/>
                  <w:rFonts w:ascii="Times New Roman;serif" w:hAnsi="Times New Roman;serif"/>
                  <w:b w:val="false"/>
                  <w:color w:val="000080"/>
                  <w:sz w:val="24"/>
                  <w:u w:val="single"/>
                </w:rPr>
                <w:t xml:space="preserve"> and December 27, 2025</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8">
              <w:r>
                <w:rPr>
                  <w:rStyle w:val="InternetLink"/>
                  <w:rFonts w:ascii="Times New Roman;serif" w:hAnsi="Times New Roman;serif"/>
                  <w:b w:val="false"/>
                  <w:color w:val="0000FF"/>
                  <w:sz w:val="24"/>
                  <w:u w:val="single"/>
                </w:rPr>
                <w:t>6</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34">
              <w:r>
                <w:rPr>
                  <w:rStyle w:val="InternetLink"/>
                  <w:rFonts w:ascii="Times New Roman;serif" w:hAnsi="Times New Roman;serif"/>
                  <w:b w:val="false"/>
                  <w:color w:val="0000FF"/>
                  <w:sz w:val="24"/>
                  <w:u w:val="single"/>
                </w:rPr>
                <w:t xml:space="preserve">Condensed Consolidated Statement of Equity – </w:t>
              </w:r>
            </w:hyperlink>
            <w:r>
              <w:rPr>
                <w:rFonts w:ascii="Times New Roman;serif" w:hAnsi="Times New Roman;serif"/>
                <w:b w:val="false"/>
                <w:color w:val="000000"/>
                <w:sz w:val="24"/>
              </w:rPr>
              <w:br/>
            </w:r>
            <w:hyperlink w:anchor="i7b2f326cd8aa4e46bb42b0652e9e8463_19">
              <w:r>
                <w:rPr>
                  <w:rStyle w:val="InternetLink"/>
                  <w:rFonts w:ascii="Times New Roman;serif" w:hAnsi="Times New Roman;serif"/>
                  <w:b w:val="false"/>
                  <w:color w:val="000080"/>
                  <w:sz w:val="24"/>
                  <w:u w:val="single"/>
                </w:rPr>
                <w:t>12</w:t>
              </w:r>
            </w:hyperlink>
            <w:hyperlink w:anchor="i7b2f326cd8aa4e46bb42b0652e9e8463_34">
              <w:r>
                <w:rPr>
                  <w:rStyle w:val="InternetLink"/>
                  <w:rFonts w:ascii="Times New Roman;serif" w:hAnsi="Times New Roman;serif"/>
                  <w:b w:val="false"/>
                  <w:color w:val="000080"/>
                  <w:sz w:val="24"/>
                  <w:u w:val="single"/>
                </w:rPr>
                <w:t xml:space="preserve"> </w:t>
              </w:r>
            </w:hyperlink>
            <w:hyperlink w:anchor="i7b2f326cd8aa4e46bb42b0652e9e8463_34">
              <w:r>
                <w:rPr>
                  <w:rStyle w:val="InternetLink"/>
                  <w:rFonts w:ascii="Times New Roman;serif" w:hAnsi="Times New Roman;serif"/>
                  <w:b w:val="false"/>
                  <w:color w:val="000080"/>
                  <w:sz w:val="24"/>
                  <w:u w:val="single"/>
                </w:rPr>
                <w:t xml:space="preserve">and 24 </w:t>
              </w:r>
            </w:hyperlink>
            <w:hyperlink w:anchor="i7b2f326cd8aa4e46bb42b0652e9e8463_34">
              <w:r>
                <w:rPr>
                  <w:rStyle w:val="InternetLink"/>
                  <w:rFonts w:ascii="Times New Roman;serif" w:hAnsi="Times New Roman;serif"/>
                  <w:b w:val="false"/>
                  <w:color w:val="000080"/>
                  <w:sz w:val="24"/>
                  <w:u w:val="single"/>
                </w:rPr>
                <w:t xml:space="preserve">Weeks Ended </w:t>
              </w:r>
            </w:hyperlink>
            <w:hyperlink w:anchor="i7b2f326cd8aa4e46bb42b0652e9e8463_19">
              <w:r>
                <w:rPr>
                  <w:rStyle w:val="InternetLink"/>
                  <w:rFonts w:ascii="Times New Roman;serif" w:hAnsi="Times New Roman;serif"/>
                  <w:b w:val="false"/>
                  <w:color w:val="000080"/>
                  <w:sz w:val="24"/>
                  <w:u w:val="single"/>
                </w:rPr>
                <w:t>June</w:t>
              </w:r>
            </w:hyperlink>
            <w:hyperlink w:anchor="i7b2f326cd8aa4e46bb42b0652e9e8463_19">
              <w:r>
                <w:rPr>
                  <w:rStyle w:val="InternetLink"/>
                  <w:rFonts w:ascii="Times New Roman;serif" w:hAnsi="Times New Roman;serif"/>
                  <w:b w:val="false"/>
                  <w:color w:val="000080"/>
                  <w:sz w:val="24"/>
                  <w:u w:val="single"/>
                </w:rPr>
                <w:t xml:space="preserve"> </w:t>
              </w:r>
            </w:hyperlink>
            <w:hyperlink w:anchor="i7b2f326cd8aa4e46bb42b0652e9e8463_19">
              <w:r>
                <w:rPr>
                  <w:rStyle w:val="InternetLink"/>
                  <w:rFonts w:ascii="Times New Roman;serif" w:hAnsi="Times New Roman;serif"/>
                  <w:b w:val="false"/>
                  <w:color w:val="000080"/>
                  <w:sz w:val="24"/>
                  <w:u w:val="single"/>
                </w:rPr>
                <w:t>13</w:t>
              </w:r>
            </w:hyperlink>
            <w:hyperlink w:anchor="i7b2f326cd8aa4e46bb42b0652e9e8463_19">
              <w:r>
                <w:rPr>
                  <w:rStyle w:val="InternetLink"/>
                  <w:rFonts w:ascii="Times New Roman;serif" w:hAnsi="Times New Roman;serif"/>
                  <w:b w:val="false"/>
                  <w:color w:val="000080"/>
                  <w:sz w:val="24"/>
                  <w:u w:val="single"/>
                </w:rPr>
                <w:t>, 2026</w:t>
              </w:r>
            </w:hyperlink>
            <w:hyperlink w:anchor="i7b2f326cd8aa4e46bb42b0652e9e8463_25">
              <w:r>
                <w:rPr>
                  <w:rStyle w:val="InternetLink"/>
                  <w:rFonts w:ascii="Times New Roman;serif" w:hAnsi="Times New Roman;serif"/>
                  <w:b w:val="false"/>
                  <w:color w:val="000080"/>
                  <w:sz w:val="24"/>
                  <w:u w:val="single"/>
                </w:rPr>
                <w:t xml:space="preserve"> and </w:t>
              </w:r>
            </w:hyperlink>
            <w:hyperlink w:anchor="i7b2f326cd8aa4e46bb42b0652e9e8463_25">
              <w:r>
                <w:rPr>
                  <w:rStyle w:val="InternetLink"/>
                  <w:rFonts w:ascii="Times New Roman;serif" w:hAnsi="Times New Roman;serif"/>
                  <w:b w:val="false"/>
                  <w:color w:val="000080"/>
                  <w:sz w:val="24"/>
                  <w:u w:val="single"/>
                </w:rPr>
                <w:t>J</w:t>
              </w:r>
            </w:hyperlink>
            <w:hyperlink w:anchor="i7b2f326cd8aa4e46bb42b0652e9e8463_25">
              <w:r>
                <w:rPr>
                  <w:rStyle w:val="InternetLink"/>
                  <w:rFonts w:ascii="Times New Roman;serif" w:hAnsi="Times New Roman;serif"/>
                  <w:b w:val="false"/>
                  <w:color w:val="000080"/>
                  <w:sz w:val="24"/>
                  <w:u w:val="single"/>
                </w:rPr>
                <w:t>une</w:t>
              </w:r>
            </w:hyperlink>
            <w:hyperlink w:anchor="i7b2f326cd8aa4e46bb42b0652e9e8463_25">
              <w:r>
                <w:rPr>
                  <w:rStyle w:val="InternetLink"/>
                  <w:rFonts w:ascii="Times New Roman;serif" w:hAnsi="Times New Roman;serif"/>
                  <w:b w:val="false"/>
                  <w:color w:val="000080"/>
                  <w:sz w:val="24"/>
                  <w:u w:val="single"/>
                </w:rPr>
                <w:t xml:space="preserve"> </w:t>
              </w:r>
            </w:hyperlink>
            <w:hyperlink w:anchor="i7b2f326cd8aa4e46bb42b0652e9e8463_25">
              <w:r>
                <w:rPr>
                  <w:rStyle w:val="InternetLink"/>
                  <w:rFonts w:ascii="Times New Roman;serif" w:hAnsi="Times New Roman;serif"/>
                  <w:b w:val="false"/>
                  <w:color w:val="000080"/>
                  <w:sz w:val="24"/>
                  <w:u w:val="single"/>
                </w:rPr>
                <w:t>14</w:t>
              </w:r>
            </w:hyperlink>
            <w:hyperlink w:anchor="i7b2f326cd8aa4e46bb42b0652e9e8463_25">
              <w:r>
                <w:rPr>
                  <w:rStyle w:val="InternetLink"/>
                  <w:rFonts w:ascii="Times New Roman;serif" w:hAnsi="Times New Roman;serif"/>
                  <w:b w:val="false"/>
                  <w:color w:val="000080"/>
                  <w:sz w:val="24"/>
                  <w:u w:val="single"/>
                </w:rPr>
                <w:t>, 2025</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34">
              <w:r>
                <w:rPr>
                  <w:rStyle w:val="InternetLink"/>
                  <w:rFonts w:ascii="Times New Roman;serif" w:hAnsi="Times New Roman;serif"/>
                  <w:b w:val="false"/>
                  <w:color w:val="0000FF"/>
                  <w:sz w:val="24"/>
                  <w:u w:val="single"/>
                </w:rPr>
                <w:t>7</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37">
              <w:r>
                <w:rPr>
                  <w:rStyle w:val="InternetLink"/>
                  <w:rFonts w:ascii="Times New Roman;serif" w:hAnsi="Times New Roman;serif"/>
                  <w:b w:val="false"/>
                  <w:color w:val="0000FF"/>
                  <w:sz w:val="24"/>
                  <w:u w:val="single"/>
                </w:rPr>
                <w:t>Notes to the Condensed Consolidated Financial Statements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37">
              <w:r>
                <w:rPr>
                  <w:rStyle w:val="InternetLink"/>
                  <w:rFonts w:ascii="Times New Roman;serif" w:hAnsi="Times New Roman;serif"/>
                  <w:b w:val="false"/>
                  <w:color w:val="0000FF"/>
                  <w:sz w:val="24"/>
                  <w:u w:val="single"/>
                </w:rPr>
                <w:t>8</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2.</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b2f326cd8aa4e46bb42b0652e9e8463_142">
              <w:r>
                <w:rPr>
                  <w:rStyle w:val="InternetLink"/>
                  <w:rFonts w:ascii="Times New Roman;serif" w:hAnsi="Times New Roman;serif"/>
                  <w:b w:val="false"/>
                  <w:color w:val="0000FF"/>
                  <w:sz w:val="24"/>
                  <w:u w:val="single"/>
                </w:rPr>
                <w:t>Management’s Discussion and Analysis of Financial Condition and Results of Operations</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142">
              <w:r>
                <w:rPr>
                  <w:rStyle w:val="InternetLink"/>
                  <w:rFonts w:ascii="Times New Roman;serif" w:hAnsi="Times New Roman;serif"/>
                  <w:b w:val="false"/>
                  <w:color w:val="0000FF"/>
                  <w:sz w:val="24"/>
                  <w:u w:val="single"/>
                </w:rPr>
                <w:t>29</w:t>
              </w:r>
            </w:hyperlink>
          </w:p>
        </w:tc>
      </w:tr>
      <w:tr>
        <w:trPr/>
        <w:tc>
          <w:tcPr>
            <w:tcW w:w="91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 of Independent Registered Public Accounting Firm</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38">
              <w:r>
                <w:rPr>
                  <w:rStyle w:val="InternetLink"/>
                  <w:rFonts w:ascii="Times New Roman;serif" w:hAnsi="Times New Roman;serif"/>
                  <w:b w:val="false"/>
                  <w:color w:val="0000FF"/>
                  <w:sz w:val="24"/>
                  <w:u w:val="single"/>
                </w:rPr>
                <w:t>47</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3.</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41">
              <w:r>
                <w:rPr>
                  <w:rStyle w:val="InternetLink"/>
                  <w:rFonts w:ascii="Times New Roman;serif" w:hAnsi="Times New Roman;serif"/>
                  <w:b w:val="false"/>
                  <w:color w:val="0000FF"/>
                  <w:sz w:val="24"/>
                  <w:u w:val="single"/>
                </w:rPr>
                <w:t>Quantitative and Qualitative Disclosures About Market Risk</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41">
              <w:r>
                <w:rPr>
                  <w:rStyle w:val="InternetLink"/>
                  <w:rFonts w:ascii="Times New Roman;serif" w:hAnsi="Times New Roman;serif"/>
                  <w:b w:val="false"/>
                  <w:color w:val="0000FF"/>
                  <w:sz w:val="24"/>
                  <w:u w:val="single"/>
                </w:rPr>
                <w:t>48</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4.</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44">
              <w:r>
                <w:rPr>
                  <w:rStyle w:val="InternetLink"/>
                  <w:rFonts w:ascii="Times New Roman;serif" w:hAnsi="Times New Roman;serif"/>
                  <w:b w:val="false"/>
                  <w:color w:val="0000FF"/>
                  <w:sz w:val="24"/>
                  <w:u w:val="single"/>
                </w:rPr>
                <w:t>Controls and Procedures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44">
              <w:r>
                <w:rPr>
                  <w:rStyle w:val="InternetLink"/>
                  <w:rFonts w:ascii="Times New Roman;serif" w:hAnsi="Times New Roman;serif"/>
                  <w:b w:val="false"/>
                  <w:color w:val="0000FF"/>
                  <w:sz w:val="24"/>
                  <w:u w:val="single"/>
                </w:rPr>
                <w:t>48</w:t>
              </w:r>
            </w:hyperlink>
          </w:p>
        </w:tc>
      </w:tr>
      <w:tr>
        <w:trPr/>
        <w:tc>
          <w:tcPr>
            <w:tcW w:w="91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 II Other Information</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1.</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50">
              <w:r>
                <w:rPr>
                  <w:rStyle w:val="InternetLink"/>
                  <w:rFonts w:ascii="Times New Roman;serif" w:hAnsi="Times New Roman;serif"/>
                  <w:b w:val="false"/>
                  <w:color w:val="0000FF"/>
                  <w:sz w:val="24"/>
                  <w:u w:val="single"/>
                </w:rPr>
                <w:t>Legal Proceedings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50">
              <w:r>
                <w:rPr>
                  <w:rStyle w:val="InternetLink"/>
                  <w:rFonts w:ascii="Times New Roman;serif" w:hAnsi="Times New Roman;serif"/>
                  <w:b w:val="false"/>
                  <w:color w:val="0000FF"/>
                  <w:sz w:val="24"/>
                  <w:u w:val="single"/>
                </w:rPr>
                <w:t>49</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1A.</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53">
              <w:r>
                <w:rPr>
                  <w:rStyle w:val="InternetLink"/>
                  <w:rFonts w:ascii="Times New Roman;serif" w:hAnsi="Times New Roman;serif"/>
                  <w:b w:val="false"/>
                  <w:color w:val="0000FF"/>
                  <w:sz w:val="24"/>
                  <w:u w:val="single"/>
                </w:rPr>
                <w:t>Risk Factors</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53">
              <w:r>
                <w:rPr>
                  <w:rStyle w:val="InternetLink"/>
                  <w:rFonts w:ascii="Times New Roman;serif" w:hAnsi="Times New Roman;serif"/>
                  <w:b w:val="false"/>
                  <w:color w:val="0000FF"/>
                  <w:sz w:val="24"/>
                  <w:u w:val="single"/>
                </w:rPr>
                <w:t>49</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2.</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56">
              <w:r>
                <w:rPr>
                  <w:rStyle w:val="InternetLink"/>
                  <w:rFonts w:ascii="Times New Roman;serif" w:hAnsi="Times New Roman;serif"/>
                  <w:b w:val="false"/>
                  <w:color w:val="0000FF"/>
                  <w:sz w:val="24"/>
                  <w:u w:val="single"/>
                </w:rPr>
                <w:t>Unregistered Sales of Equity Securities and Use of Proceeds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56">
              <w:r>
                <w:rPr>
                  <w:rStyle w:val="InternetLink"/>
                  <w:rFonts w:ascii="Times New Roman;serif" w:hAnsi="Times New Roman;serif"/>
                  <w:b w:val="false"/>
                  <w:color w:val="0000FF"/>
                  <w:sz w:val="24"/>
                  <w:u w:val="single"/>
                </w:rPr>
                <w:t>49</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5.</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59">
              <w:r>
                <w:rPr>
                  <w:rStyle w:val="InternetLink"/>
                  <w:rFonts w:ascii="Times New Roman;serif" w:hAnsi="Times New Roman;serif"/>
                  <w:b w:val="false"/>
                  <w:color w:val="0000FF"/>
                  <w:sz w:val="24"/>
                  <w:u w:val="single"/>
                </w:rPr>
                <w:t>Other Information</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59">
              <w:r>
                <w:rPr>
                  <w:rStyle w:val="InternetLink"/>
                  <w:rFonts w:ascii="Times New Roman;serif" w:hAnsi="Times New Roman;serif"/>
                  <w:b w:val="false"/>
                  <w:color w:val="0000FF"/>
                  <w:sz w:val="24"/>
                  <w:u w:val="single"/>
                </w:rPr>
                <w:t>50</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6.</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b2f326cd8aa4e46bb42b0652e9e8463_262">
              <w:r>
                <w:rPr>
                  <w:rStyle w:val="InternetLink"/>
                  <w:rFonts w:ascii="Times New Roman;serif" w:hAnsi="Times New Roman;serif"/>
                  <w:b w:val="false"/>
                  <w:color w:val="0000FF"/>
                  <w:sz w:val="24"/>
                  <w:u w:val="single"/>
                </w:rPr>
                <w:t>Exhibits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b2f326cd8aa4e46bb42b0652e9e8463_262">
              <w:r>
                <w:rPr>
                  <w:rStyle w:val="InternetLink"/>
                  <w:rFonts w:ascii="Times New Roman;serif" w:hAnsi="Times New Roman;serif"/>
                  <w:b w:val="false"/>
                  <w:color w:val="0000FF"/>
                  <w:sz w:val="24"/>
                  <w:u w:val="single"/>
                </w:rPr>
                <w:t>50</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Income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pPr>
      <w:r>
        <w:rPr>
          <w:rFonts w:ascii="Times New Roman;serif" w:hAnsi="Times New Roman;serif"/>
          <w:b w:val="false"/>
          <w:color w:val="000000"/>
          <w:sz w:val="24"/>
        </w:rPr>
        <w:t>(in millions, except per share amounts,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709"/>
        <w:gridCol w:w="1407"/>
        <w:gridCol w:w="1418"/>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5"/>
      </w:tblGrid>
      <w:tr>
        <w:trPr/>
        <w:tc>
          <w:tcPr>
            <w:tcW w:w="170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24 Weeks Ended</w:t>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24,181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43,624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19,782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22,415 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16,606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of intangible assets (see Notes 1 and 4)</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7,236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pension and retiree medical benefits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interest expense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 Attributable to PepsiCo</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 Attributable to PepsiCo per Common Share</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common shares outstanding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Comprehensive Income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unaudited)</w:t>
      </w:r>
    </w:p>
    <w:tbl>
      <w:tblPr>
        <w:tblW w:w="10205" w:type="dxa"/>
        <w:jc w:val="center"/>
        <w:tblInd w:w="0" w:type="dxa"/>
        <w:tblLayout w:type="fixed"/>
        <w:tblCellMar>
          <w:top w:w="28" w:type="dxa"/>
          <w:left w:w="28" w:type="dxa"/>
          <w:bottom w:w="28" w:type="dxa"/>
          <w:right w:w="28" w:type="dxa"/>
        </w:tblCellMar>
      </w:tblPr>
      <w:tblGrid>
        <w:gridCol w:w="1806"/>
        <w:gridCol w:w="1558"/>
        <w:gridCol w:w="1570"/>
        <w:gridCol w:w="230"/>
        <w:gridCol w:w="719"/>
        <w:gridCol w:w="110"/>
        <w:gridCol w:w="109"/>
        <w:gridCol w:w="109"/>
        <w:gridCol w:w="109"/>
        <w:gridCol w:w="230"/>
        <w:gridCol w:w="719"/>
        <w:gridCol w:w="110"/>
        <w:gridCol w:w="109"/>
        <w:gridCol w:w="109"/>
        <w:gridCol w:w="109"/>
        <w:gridCol w:w="230"/>
        <w:gridCol w:w="719"/>
        <w:gridCol w:w="110"/>
        <w:gridCol w:w="109"/>
        <w:gridCol w:w="109"/>
        <w:gridCol w:w="109"/>
        <w:gridCol w:w="230"/>
        <w:gridCol w:w="719"/>
        <w:gridCol w:w="164"/>
      </w:tblGrid>
      <w:tr>
        <w:trPr/>
        <w:tc>
          <w:tcPr>
            <w:tcW w:w="180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24 Weeks Ended</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3,004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5,342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(loss)/income, net of taxes: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currency translation adjustment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155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874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change on cash flow hedges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pension and retiree medical adjustments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change on available-for-sale debt securities and other</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comprehensive (loss)/income, net of taxes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681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w:t>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3,003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6,023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Comprehensive income attributable to</w:t>
              <w:br/>
              <w:t>noncontrolling interests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Comprehensive Income Attributable to PepsiCo</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2,980</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5,989</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4,619 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Cash Flows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unaudited)</w:t>
      </w:r>
    </w:p>
    <w:tbl>
      <w:tblPr>
        <w:tblW w:w="10205" w:type="dxa"/>
        <w:jc w:val="center"/>
        <w:tblInd w:w="0" w:type="dxa"/>
        <w:tblLayout w:type="fixed"/>
        <w:tblCellMar>
          <w:top w:w="28" w:type="dxa"/>
          <w:left w:w="28" w:type="dxa"/>
          <w:bottom w:w="28" w:type="dxa"/>
          <w:right w:w="28" w:type="dxa"/>
        </w:tblCellMar>
      </w:tblPr>
      <w:tblGrid>
        <w:gridCol w:w="2942"/>
        <w:gridCol w:w="2357"/>
        <w:gridCol w:w="2368"/>
        <w:gridCol w:w="229"/>
        <w:gridCol w:w="716"/>
        <w:gridCol w:w="110"/>
        <w:gridCol w:w="109"/>
        <w:gridCol w:w="109"/>
        <w:gridCol w:w="109"/>
        <w:gridCol w:w="226"/>
        <w:gridCol w:w="706"/>
        <w:gridCol w:w="224"/>
      </w:tblGrid>
      <w:tr>
        <w:trPr/>
        <w:tc>
          <w:tcPr>
            <w:tcW w:w="294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7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24 Weeks Ended</w:t>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Activities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5,342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1,639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and other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347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Restructuring and impairment charges </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182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restructuring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bookmarkStart w:id="1" w:name="i63688b617a5a4cc1ae59dec324168ef1_13-0-1"/>
            <w:bookmarkEnd w:id="1"/>
            <w:r>
              <w:rPr>
                <w:rFonts w:ascii="Times New Roman;serif" w:hAnsi="Times New Roman;serif"/>
                <w:b w:val="false"/>
                <w:color w:val="000000"/>
                <w:sz w:val="22"/>
              </w:rPr>
              <w:t>Acquisition and divestiture-related charges/credits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acquisition and divestiture-related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expenses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contributions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 and other tax charges/credits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494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payments related to the Tax Cuts and Jobs Act (TCJ Act)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assets and liabilities: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and notes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(1,857)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other current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(1,200)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taxes payable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313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(298)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2,365</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996 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Investing Activities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spending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(1,266)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Sales of property, plant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 net of cash acquired, investments in noncontrolled affiliates and purchases of intangible and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(3,130)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investments, by original maturity:</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purchases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maturities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sales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investing,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 Investing Activities</w:t>
            </w:r>
          </w:p>
        </w:tc>
        <w:tc>
          <w:tcPr>
            <w:tcW w:w="9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(1,392)</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(4,127)</w:t>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(Continued on following page)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Cash Flows (continued)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unaudited)</w:t>
      </w:r>
    </w:p>
    <w:tbl>
      <w:tblPr>
        <w:tblW w:w="10205" w:type="dxa"/>
        <w:jc w:val="left"/>
        <w:tblInd w:w="0" w:type="dxa"/>
        <w:tblLayout w:type="fixed"/>
        <w:tblCellMar>
          <w:top w:w="28" w:type="dxa"/>
          <w:left w:w="28" w:type="dxa"/>
          <w:bottom w:w="28" w:type="dxa"/>
          <w:right w:w="28" w:type="dxa"/>
        </w:tblCellMar>
      </w:tblPr>
      <w:tblGrid>
        <w:gridCol w:w="2798"/>
        <w:gridCol w:w="2374"/>
        <w:gridCol w:w="2391"/>
        <w:gridCol w:w="226"/>
        <w:gridCol w:w="826"/>
        <w:gridCol w:w="109"/>
        <w:gridCol w:w="109"/>
        <w:gridCol w:w="109"/>
        <w:gridCol w:w="109"/>
        <w:gridCol w:w="226"/>
        <w:gridCol w:w="706"/>
        <w:gridCol w:w="222"/>
      </w:tblGrid>
      <w:tr>
        <w:trPr/>
        <w:tc>
          <w:tcPr>
            <w:tcW w:w="279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24 Weeks Ended</w:t>
            </w:r>
          </w:p>
        </w:tc>
      </w:tr>
      <w:tr>
        <w:trPr/>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issuances of long-term debt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borrowings, by original maturity: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proceeds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5,251 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payments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(2,492)</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(3,743)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exercises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Withholding tax payments on restricted stock units (RSUs) and performance stock units (PSUs) converted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financing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for)/Provided by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exchange rate changes on cash and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Increase/(Decrease) in Cash and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Beginning of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8,553 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10,303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7,712 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Non-Cash Activity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Right-of-use assets obtained in exchange for lease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Balance Sheet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935"/>
        <w:gridCol w:w="2394"/>
        <w:gridCol w:w="2405"/>
        <w:gridCol w:w="196"/>
        <w:gridCol w:w="751"/>
        <w:gridCol w:w="109"/>
        <w:gridCol w:w="109"/>
        <w:gridCol w:w="109"/>
        <w:gridCol w:w="109"/>
        <w:gridCol w:w="196"/>
        <w:gridCol w:w="736"/>
        <w:gridCol w:w="156"/>
      </w:tblGrid>
      <w:tr>
        <w:trPr/>
        <w:tc>
          <w:tcPr>
            <w:tcW w:w="2935"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12/27/2025</w:t>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less allowance ($226 and $230,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packaging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Amortizable 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Indefinite-Lived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Noncontrolled Affiliates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112,189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89,919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PepsiCo Common 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Common stock, par value 1</w:t>
            </w:r>
            <w:r>
              <w:rPr>
                <w:rFonts w:ascii="Times New Roman;serif" w:hAnsi="Times New Roman;serif"/>
                <w:b w:val="false"/>
                <w:color w:val="000000"/>
                <w:sz w:val="12"/>
              </w:rPr>
              <w:t>2</w:t>
            </w:r>
            <w:r>
              <w:rPr>
                <w:rFonts w:ascii="Times New Roman;serif" w:hAnsi="Times New Roman;serif"/>
                <w:b w:val="false"/>
                <w:color w:val="000000"/>
                <w:sz w:val="18"/>
              </w:rPr>
              <w:t>/</w:t>
            </w:r>
            <w:r>
              <w:rPr>
                <w:rFonts w:ascii="Times New Roman;serif" w:hAnsi="Times New Roman;serif"/>
                <w:b w:val="false"/>
                <w:color w:val="000000"/>
                <w:sz w:val="12"/>
              </w:rPr>
              <w:t>3</w:t>
            </w:r>
            <w:r>
              <w:rPr>
                <w:rFonts w:ascii="Times New Roman;serif" w:hAnsi="Times New Roman;serif"/>
                <w:b w:val="false"/>
                <w:color w:val="000000"/>
                <w:sz w:val="18"/>
              </w:rPr>
              <w:t>¢ per share (authorized 3,600 shares; issued, net of repurchased common stock at par value: 1,366 and 1,367 shares,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Repurchased common stock, in excess of par value (501 and 500 shares,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PepsiCo Common Shareholders’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112,189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Equity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except per share amounts, unaudited)</w:t>
      </w:r>
    </w:p>
    <w:tbl>
      <w:tblPr>
        <w:tblW w:w="10557" w:type="dxa"/>
        <w:jc w:val="left"/>
        <w:tblInd w:w="0" w:type="dxa"/>
        <w:tblLayout w:type="fixed"/>
        <w:tblCellMar>
          <w:top w:w="28" w:type="dxa"/>
          <w:left w:w="28" w:type="dxa"/>
          <w:bottom w:w="28" w:type="dxa"/>
          <w:right w:w="28" w:type="dxa"/>
        </w:tblCellMar>
      </w:tblPr>
      <w:tblGrid>
        <w:gridCol w:w="784"/>
        <w:gridCol w:w="268"/>
        <w:gridCol w:w="269"/>
        <w:gridCol w:w="285"/>
        <w:gridCol w:w="286"/>
        <w:gridCol w:w="211"/>
        <w:gridCol w:w="109"/>
        <w:gridCol w:w="109"/>
        <w:gridCol w:w="109"/>
        <w:gridCol w:w="196"/>
        <w:gridCol w:w="661"/>
        <w:gridCol w:w="109"/>
        <w:gridCol w:w="109"/>
        <w:gridCol w:w="109"/>
        <w:gridCol w:w="109"/>
        <w:gridCol w:w="278"/>
        <w:gridCol w:w="278"/>
        <w:gridCol w:w="196"/>
        <w:gridCol w:w="109"/>
        <w:gridCol w:w="109"/>
        <w:gridCol w:w="109"/>
        <w:gridCol w:w="196"/>
        <w:gridCol w:w="646"/>
        <w:gridCol w:w="109"/>
        <w:gridCol w:w="109"/>
        <w:gridCol w:w="109"/>
        <w:gridCol w:w="109"/>
        <w:gridCol w:w="285"/>
        <w:gridCol w:w="286"/>
        <w:gridCol w:w="211"/>
        <w:gridCol w:w="109"/>
        <w:gridCol w:w="109"/>
        <w:gridCol w:w="109"/>
        <w:gridCol w:w="196"/>
        <w:gridCol w:w="661"/>
        <w:gridCol w:w="109"/>
        <w:gridCol w:w="109"/>
        <w:gridCol w:w="109"/>
        <w:gridCol w:w="109"/>
        <w:gridCol w:w="278"/>
        <w:gridCol w:w="278"/>
        <w:gridCol w:w="196"/>
        <w:gridCol w:w="109"/>
        <w:gridCol w:w="109"/>
        <w:gridCol w:w="109"/>
        <w:gridCol w:w="196"/>
        <w:gridCol w:w="64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 Weeks Ended</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6/14/2025</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1,368</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1,367</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repurchased common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1,366</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1,366</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in Excess of Par Value</w:t>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 RSUs and PSUs converted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 on RSUs and PSUs converted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Retained Earnings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72,788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dividends declared </w:t>
            </w:r>
            <w:r>
              <w:rPr>
                <w:rFonts w:ascii="Times New Roman;serif" w:hAnsi="Times New Roman;serif"/>
                <w:b w:val="false"/>
                <w:color w:val="000000"/>
                <w:sz w:val="12"/>
              </w:rPr>
              <w:t>(a)</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(loss)/income attributable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PepsiCo</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Repurchased Common Stock</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 RSUs and PSUs converted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PepsiCo Common Shareholders’ Equity</w:t>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(a)Cash dividends declared per common share were $1.4800 and $1.4225 for the 12 weeks ended June 13, 2026 and June 14, 2025, respectively, and $2.9025 and $2.7775 for the 24 weeks ended June 13, 2026 and June 14, 2025, respectively. </w:t>
      </w:r>
    </w:p>
    <w:p>
      <w:pPr>
        <w:pStyle w:val="TextBody"/>
        <w:bidi w:val="0"/>
        <w:spacing w:before="8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4"/>
        </w:rPr>
      </w:pPr>
      <w:r>
        <w:rPr>
          <w:rFonts w:ascii="Times New Roman;serif" w:hAnsi="Times New Roman;serif"/>
          <w:b/>
          <w:color w:val="000000"/>
          <w:sz w:val="24"/>
        </w:rPr>
        <w:t>Note 1 - Basis of Presentation and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Basis of Presentation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When used in this report, the terms “we,” “us,” “our,” “PepsiCo” and the “Company” mean PepsiCo, Inc. and its consolidated subsidiaries, collectively.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accompanying unaudited condensed consolidated financial statements have been prepared in accordance with U.S. Generally Accepted Accounting Principles (GAAP) for interim financial information and with the rules and regulations for reporting the Quarterly Report on Form 10-Q (Form 10-Q). Accordingly, they do not include all of the information and footnotes required by GAAP for complete financial statements. We have subsidiaries operating in highly inflationary economies, such as Argentina, Egypt and Turkey, and accordingly apply highly inflationary accounting for these subsidiaries. The condensed consolidated balance sheet at December 27, 2025 has been derived from the audited consolidated financial statements at that date, but does not include all of the information and footnotes required by GAAP for complete financial statements. These financial statements have been prepared on a basis that is substantially consistent with the accounting principles applied in our Annual Report on Form 10-K for the fiscal year ended December 27, 2025 (2025 Form 10-K). This report should be read in conjunction with our 2025 Form 10-K. In our opinion, these financial statements include all normal and recurring adjustments necessary for a fair presentation. The results for the 12 and 24 weeks ended June 13, 2026 are not necessarily indicative of the results expected for any future period or the full year.</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Raw materials, direct labor and plant overhead, as well as purchasing and receiving costs, costs directly related to production planning, inspection costs and raw materials handling facilities, are included in cost of sales. The costs of moving, storing and delivering finished product, including merchandising activities, are included in selling, general and administrative expenses.</w:t>
      </w:r>
    </w:p>
    <w:p>
      <w:pPr>
        <w:pStyle w:val="TextBody"/>
        <w:bidi w:val="0"/>
        <w:spacing w:lineRule="auto" w:line="288" w:before="120" w:after="120"/>
        <w:jc w:val="both"/>
        <w:rPr/>
      </w:pPr>
      <w:r>
        <w:rPr>
          <w:rFonts w:ascii="Times New Roman;serif" w:hAnsi="Times New Roman;serif"/>
          <w:b w:val="false"/>
          <w:color w:val="000000"/>
          <w:sz w:val="24"/>
        </w:rPr>
        <w:t>While our financial results in the United States and Canada (North America) are reported on a 12-week basis, all of our international operations are reported on a monthly calendar basis for which the months of March, April and May are reflected in our results for the 12 weeks ended</w:t>
      </w:r>
      <w:r>
        <w:rPr>
          <w:color w:val="000000"/>
        </w:rPr>
        <w:t xml:space="preserve"> </w:t>
      </w:r>
      <w:r>
        <w:rPr>
          <w:rFonts w:ascii="Times New Roman;serif" w:hAnsi="Times New Roman;serif"/>
          <w:b w:val="false"/>
          <w:color w:val="000000"/>
          <w:sz w:val="24"/>
        </w:rPr>
        <w:t>June 13, 2026 and June 14, 2025 and the months of January through May are reflected in our results for the 24 weeks ended June 13, 2026 and June 14,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preparation of our condensed consolidated financial statements requires management to make estimates and assumptions that affect the amounts reported in our condensed consolidated financial statements and related disclosures. Additionally, the business and economic uncertainty resulting from volatile geopolitical conditions, an increasingly complex global tax environment, including changes in how existing laws are interpreted or enforced, expanded or retaliatory tariffs and changes in the interest rate and inflationary cost environment have made such estimates and assumptions more difficult to calculate. Accordingly, actual results and outcomes could differ from those estimates.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Our significant interim accounting policies include the recognition of a pro rata share of certain estimated annual sales incentives and certain advertising and marketing costs in proportion to revenue or volume, as applicable, and the recognition of income taxes using an estimated annual effective tax rate.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Unless otherwise noted, tabular dollars are in millions, except per share amounts. All per share amounts reflect common per share amounts, assume dilution unless otherwise noted, and are based on unrounded amounts. Certain reclassifications were made to the prior year’s financial statements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Our Segments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are organized into six reportable segments, as follows:</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1)PepsiCo Foods North America (PFNA), which includes all of our convenient food businesses in the United States and Canada;</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2)PepsiCo Beverages North America (PBNA), which includes all of our beverage businesses in the United States and Canada;</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3)International Beverages Franchise (IB Franchise), which includes our international franchise beverage businesses, as well as our SodaStream business;</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4)Europe, Middle East and Africa (EMEA), which includes our convenient food businesses and our beverage businesses with company-owned bottlers in Europe, the Middle East and Africa;</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5)Latin America Foods (LatAm Foods), which includes all of our convenient food businesses in Latin America; and</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6)Asia Pacific Foods, which consists of our convenient food businesses in Asia Pacific, including China, Australia and New Zealand, as well as India.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Net Revenue, Significant Expenses and Operating Profit/(Loss) by Segment</w:t>
      </w:r>
    </w:p>
    <w:tbl>
      <w:tblPr>
        <w:tblW w:w="10205" w:type="dxa"/>
        <w:jc w:val="left"/>
        <w:tblInd w:w="0" w:type="dxa"/>
        <w:tblLayout w:type="fixed"/>
        <w:tblCellMar>
          <w:top w:w="28" w:type="dxa"/>
          <w:left w:w="28" w:type="dxa"/>
          <w:bottom w:w="28" w:type="dxa"/>
          <w:right w:w="28" w:type="dxa"/>
        </w:tblCellMar>
      </w:tblPr>
      <w:tblGrid>
        <w:gridCol w:w="954"/>
        <w:gridCol w:w="272"/>
        <w:gridCol w:w="273"/>
        <w:gridCol w:w="211"/>
        <w:gridCol w:w="616"/>
        <w:gridCol w:w="109"/>
        <w:gridCol w:w="109"/>
        <w:gridCol w:w="109"/>
        <w:gridCol w:w="109"/>
        <w:gridCol w:w="211"/>
        <w:gridCol w:w="616"/>
        <w:gridCol w:w="109"/>
        <w:gridCol w:w="109"/>
        <w:gridCol w:w="109"/>
        <w:gridCol w:w="109"/>
        <w:gridCol w:w="214"/>
        <w:gridCol w:w="625"/>
        <w:gridCol w:w="111"/>
        <w:gridCol w:w="109"/>
        <w:gridCol w:w="109"/>
        <w:gridCol w:w="109"/>
        <w:gridCol w:w="211"/>
        <w:gridCol w:w="616"/>
        <w:gridCol w:w="109"/>
        <w:gridCol w:w="109"/>
        <w:gridCol w:w="109"/>
        <w:gridCol w:w="109"/>
        <w:gridCol w:w="212"/>
        <w:gridCol w:w="620"/>
        <w:gridCol w:w="109"/>
        <w:gridCol w:w="109"/>
        <w:gridCol w:w="109"/>
        <w:gridCol w:w="109"/>
        <w:gridCol w:w="214"/>
        <w:gridCol w:w="627"/>
        <w:gridCol w:w="110"/>
        <w:gridCol w:w="109"/>
        <w:gridCol w:w="109"/>
        <w:gridCol w:w="109"/>
        <w:gridCol w:w="211"/>
        <w:gridCol w:w="721"/>
        <w:gridCol w:w="162"/>
      </w:tblGrid>
      <w:tr>
        <w:trPr/>
        <w:tc>
          <w:tcPr>
            <w:tcW w:w="95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 6/13/2026</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bookmarkStart w:id="2" w:name="i19043d0736684c749a5c0947963d2da2_6-0-1-"/>
            <w:bookmarkEnd w:id="2"/>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956"/>
        <w:gridCol w:w="276"/>
        <w:gridCol w:w="277"/>
        <w:gridCol w:w="211"/>
        <w:gridCol w:w="616"/>
        <w:gridCol w:w="109"/>
        <w:gridCol w:w="109"/>
        <w:gridCol w:w="109"/>
        <w:gridCol w:w="109"/>
        <w:gridCol w:w="211"/>
        <w:gridCol w:w="616"/>
        <w:gridCol w:w="109"/>
        <w:gridCol w:w="109"/>
        <w:gridCol w:w="109"/>
        <w:gridCol w:w="109"/>
        <w:gridCol w:w="212"/>
        <w:gridCol w:w="619"/>
        <w:gridCol w:w="109"/>
        <w:gridCol w:w="109"/>
        <w:gridCol w:w="109"/>
        <w:gridCol w:w="109"/>
        <w:gridCol w:w="211"/>
        <w:gridCol w:w="616"/>
        <w:gridCol w:w="109"/>
        <w:gridCol w:w="109"/>
        <w:gridCol w:w="109"/>
        <w:gridCol w:w="109"/>
        <w:gridCol w:w="212"/>
        <w:gridCol w:w="620"/>
        <w:gridCol w:w="109"/>
        <w:gridCol w:w="109"/>
        <w:gridCol w:w="109"/>
        <w:gridCol w:w="109"/>
        <w:gridCol w:w="214"/>
        <w:gridCol w:w="627"/>
        <w:gridCol w:w="111"/>
        <w:gridCol w:w="109"/>
        <w:gridCol w:w="109"/>
        <w:gridCol w:w="109"/>
        <w:gridCol w:w="211"/>
        <w:gridCol w:w="721"/>
        <w:gridCol w:w="161"/>
      </w:tblGrid>
      <w:tr>
        <w:trPr/>
        <w:tc>
          <w:tcPr>
            <w:tcW w:w="9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Weeks Ended 6/14/2025</w:t>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and other charges </w:t>
            </w:r>
            <w:r>
              <w:rPr>
                <w:rFonts w:ascii="Times New Roman;serif" w:hAnsi="Times New Roman;serif"/>
                <w:b w:val="false"/>
                <w:color w:val="000000"/>
                <w:sz w:val="13"/>
              </w:rPr>
              <w:t>(d)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10" w:type="dxa"/>
        <w:jc w:val="left"/>
        <w:tblInd w:w="0" w:type="dxa"/>
        <w:tblLayout w:type="fixed"/>
        <w:tblCellMar>
          <w:top w:w="28" w:type="dxa"/>
          <w:left w:w="28" w:type="dxa"/>
          <w:bottom w:w="28" w:type="dxa"/>
          <w:right w:w="28" w:type="dxa"/>
        </w:tblCellMar>
      </w:tblPr>
      <w:tblGrid>
        <w:gridCol w:w="937"/>
        <w:gridCol w:w="244"/>
        <w:gridCol w:w="245"/>
        <w:gridCol w:w="211"/>
        <w:gridCol w:w="721"/>
        <w:gridCol w:w="109"/>
        <w:gridCol w:w="109"/>
        <w:gridCol w:w="109"/>
        <w:gridCol w:w="109"/>
        <w:gridCol w:w="211"/>
        <w:gridCol w:w="721"/>
        <w:gridCol w:w="109"/>
        <w:gridCol w:w="109"/>
        <w:gridCol w:w="109"/>
        <w:gridCol w:w="109"/>
        <w:gridCol w:w="213"/>
        <w:gridCol w:w="622"/>
        <w:gridCol w:w="11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 6/13/2026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bookmarkStart w:id="3" w:name="if4bf71af6ede465296cf331f17309622_6-0-1-"/>
            <w:bookmarkEnd w:id="3"/>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300" w:type="dxa"/>
        <w:jc w:val="left"/>
        <w:tblInd w:w="0" w:type="dxa"/>
        <w:tblLayout w:type="fixed"/>
        <w:tblCellMar>
          <w:top w:w="28" w:type="dxa"/>
          <w:left w:w="28" w:type="dxa"/>
          <w:bottom w:w="28" w:type="dxa"/>
          <w:right w:w="28" w:type="dxa"/>
        </w:tblCellMar>
      </w:tblPr>
      <w:tblGrid>
        <w:gridCol w:w="937"/>
        <w:gridCol w:w="244"/>
        <w:gridCol w:w="24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 Weeks Ended 6/14/2025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and other charges </w:t>
            </w:r>
            <w:r>
              <w:rPr>
                <w:rFonts w:ascii="Times New Roman;serif" w:hAnsi="Times New Roman;serif"/>
                <w:b w:val="false"/>
                <w:color w:val="000000"/>
                <w:sz w:val="13"/>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(a)Does not include items recorded in the cost of sales or selling, general and administrative expenses lines on our income statement that are presented in the restructuring and impairment charges, acquisition and divestiture-related charges/credits and impairment and other charges lines of these tables.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(b)See Note 3 for further information related to restructuring and impairment charges. Income amount represents adjustments for changes in estimates of previously recorded amounts.</w:t>
      </w:r>
    </w:p>
    <w:p>
      <w:pPr>
        <w:pStyle w:val="TextBody"/>
        <w:bidi w:val="0"/>
        <w:spacing w:lineRule="auto" w:line="288" w:before="0" w:after="0"/>
        <w:ind w:left="0" w:right="0" w:hanging="360"/>
        <w:jc w:val="both"/>
        <w:rPr>
          <w:rFonts w:ascii="Times New Roman;serif" w:hAnsi="Times New Roman;serif"/>
          <w:b w:val="false"/>
          <w:color w:val="000000"/>
          <w:sz w:val="18"/>
        </w:rPr>
      </w:pPr>
      <w:bookmarkStart w:id="4" w:name="i3a7092cfdef740d38100c515926bfa9d_2174"/>
      <w:bookmarkEnd w:id="4"/>
      <w:r>
        <w:rPr>
          <w:rFonts w:ascii="Times New Roman;serif" w:hAnsi="Times New Roman;serif"/>
          <w:b w:val="false"/>
          <w:color w:val="000000"/>
          <w:sz w:val="18"/>
        </w:rPr>
        <w:t>(c)See Note 11 for further information related to acquisition and divestiture-related charges/credits.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 the 12 and 24 weeks ended June 14, 2025, we recorded pre-tax charges of $1,860 million ($1,447 million after-tax or $1.05 per share), of which $1,780 million is related to the impairment of the Rockstar brand in our PBNA and EMEA segments. The remaining $80 million is related to the impairment of the Be &amp; Cheery brand in our Asia Pacific Foods segment. See Note 4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Disaggregation of Net Revenue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Our primary performance obligation is the distribution and sales of beverage and convenient food products to our customers. The following tables reflect the percentage of net revenue generated between our beverage business and our convenient food business:</w:t>
      </w:r>
    </w:p>
    <w:tbl>
      <w:tblPr>
        <w:tblW w:w="7880" w:type="dxa"/>
        <w:jc w:val="left"/>
        <w:tblInd w:w="0" w:type="dxa"/>
        <w:tblLayout w:type="fixed"/>
        <w:tblCellMar>
          <w:top w:w="28" w:type="dxa"/>
          <w:left w:w="28" w:type="dxa"/>
          <w:bottom w:w="28" w:type="dxa"/>
          <w:right w:w="28" w:type="dxa"/>
        </w:tblCellMar>
      </w:tblPr>
      <w:tblGrid>
        <w:gridCol w:w="499"/>
        <w:gridCol w:w="439"/>
        <w:gridCol w:w="442"/>
        <w:gridCol w:w="242"/>
        <w:gridCol w:w="242"/>
        <w:gridCol w:w="671"/>
        <w:gridCol w:w="109"/>
        <w:gridCol w:w="109"/>
        <w:gridCol w:w="109"/>
        <w:gridCol w:w="339"/>
        <w:gridCol w:w="339"/>
        <w:gridCol w:w="942"/>
        <w:gridCol w:w="109"/>
        <w:gridCol w:w="109"/>
        <w:gridCol w:w="109"/>
        <w:gridCol w:w="243"/>
        <w:gridCol w:w="243"/>
        <w:gridCol w:w="609"/>
        <w:gridCol w:w="109"/>
        <w:gridCol w:w="109"/>
        <w:gridCol w:w="109"/>
        <w:gridCol w:w="335"/>
        <w:gridCol w:w="335"/>
        <w:gridCol w:w="97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Beverages</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Convenient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Beverages</w:t>
            </w:r>
            <w:r>
              <w:rPr>
                <w:rFonts w:ascii="Times New Roman;serif" w:hAnsi="Times New Roman;serif"/>
                <w:b w:val="false"/>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Convenient Foods</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(b)</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880" w:type="dxa"/>
        <w:jc w:val="left"/>
        <w:tblInd w:w="0" w:type="dxa"/>
        <w:tblLayout w:type="fixed"/>
        <w:tblCellMar>
          <w:top w:w="28" w:type="dxa"/>
          <w:left w:w="28" w:type="dxa"/>
          <w:bottom w:w="28" w:type="dxa"/>
          <w:right w:w="28" w:type="dxa"/>
        </w:tblCellMar>
      </w:tblPr>
      <w:tblGrid>
        <w:gridCol w:w="499"/>
        <w:gridCol w:w="439"/>
        <w:gridCol w:w="442"/>
        <w:gridCol w:w="242"/>
        <w:gridCol w:w="242"/>
        <w:gridCol w:w="671"/>
        <w:gridCol w:w="109"/>
        <w:gridCol w:w="109"/>
        <w:gridCol w:w="109"/>
        <w:gridCol w:w="339"/>
        <w:gridCol w:w="339"/>
        <w:gridCol w:w="942"/>
        <w:gridCol w:w="109"/>
        <w:gridCol w:w="109"/>
        <w:gridCol w:w="109"/>
        <w:gridCol w:w="243"/>
        <w:gridCol w:w="243"/>
        <w:gridCol w:w="609"/>
        <w:gridCol w:w="109"/>
        <w:gridCol w:w="109"/>
        <w:gridCol w:w="109"/>
        <w:gridCol w:w="335"/>
        <w:gridCol w:w="335"/>
        <w:gridCol w:w="97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Beverages</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Convenient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Beverages</w:t>
            </w:r>
            <w:r>
              <w:rPr>
                <w:rFonts w:ascii="Times New Roman;serif" w:hAnsi="Times New Roman;serif"/>
                <w:b w:val="false"/>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Convenient Foods</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(b)</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pPr>
      <w:r>
        <w:rPr>
          <w:rFonts w:ascii="Times New Roman;serif" w:hAnsi="Times New Roman;serif"/>
          <w:b w:val="false"/>
          <w:color w:val="000000"/>
          <w:sz w:val="18"/>
          <w:shd w:fill="FFFFFF" w:val="clear"/>
        </w:rPr>
        <w:t>(a)</w:t>
      </w:r>
      <w:r>
        <w:rPr>
          <w:rFonts w:ascii="Times New Roman;serif" w:hAnsi="Times New Roman;serif"/>
          <w:b w:val="false"/>
          <w:color w:val="000000"/>
          <w:sz w:val="18"/>
        </w:rPr>
        <w:t>Beverage revenue from company-owned bottlers, which includes our consolidated bottling operations in our PBNA and EMEA segments, was 36% of our consolidated net revenue in each of the 12 and 24 weeks ended June 13, 2026 and June 14, 2025. Generally, our finished goods beverage operations produce higher net revenue but lower operating margins as compared to concentrate sold to authorized bottling partners for the manufacture of finished goods beverages.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(b)Beverage and convenient foods revenue generated from our EMEA segment was 37% and 63% of EMEA net revenue, respectively, in the 12 weeks ended June 13, 2026, 38% and 62% of EMEA net revenue, respectively, in the 12 weeks ended June 14, 2025 and 36% and 64% of EMEA net revenue, respectively, in each of the 24 weeks ended June 13, 2026 and June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Other Segment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Capital spending and depreciation and amortization of each segment are as follows:</w:t>
      </w:r>
    </w:p>
    <w:tbl>
      <w:tblPr>
        <w:tblW w:w="6979" w:type="dxa"/>
        <w:jc w:val="left"/>
        <w:tblInd w:w="0" w:type="dxa"/>
        <w:tblLayout w:type="fixed"/>
        <w:tblCellMar>
          <w:top w:w="28" w:type="dxa"/>
          <w:left w:w="28" w:type="dxa"/>
          <w:bottom w:w="28" w:type="dxa"/>
          <w:right w:w="28" w:type="dxa"/>
        </w:tblCellMar>
      </w:tblPr>
      <w:tblGrid>
        <w:gridCol w:w="583"/>
        <w:gridCol w:w="512"/>
        <w:gridCol w:w="524"/>
        <w:gridCol w:w="253"/>
        <w:gridCol w:w="577"/>
        <w:gridCol w:w="130"/>
        <w:gridCol w:w="109"/>
        <w:gridCol w:w="109"/>
        <w:gridCol w:w="109"/>
        <w:gridCol w:w="257"/>
        <w:gridCol w:w="569"/>
        <w:gridCol w:w="133"/>
        <w:gridCol w:w="109"/>
        <w:gridCol w:w="109"/>
        <w:gridCol w:w="109"/>
        <w:gridCol w:w="300"/>
        <w:gridCol w:w="685"/>
        <w:gridCol w:w="155"/>
        <w:gridCol w:w="155"/>
        <w:gridCol w:w="155"/>
        <w:gridCol w:w="155"/>
        <w:gridCol w:w="300"/>
        <w:gridCol w:w="663"/>
        <w:gridCol w:w="219"/>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Capital Spending</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 and Amortization</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8" w:type="dxa"/>
        <w:jc w:val="left"/>
        <w:tblInd w:w="0" w:type="dxa"/>
        <w:tblLayout w:type="fixed"/>
        <w:tblCellMar>
          <w:top w:w="28" w:type="dxa"/>
          <w:left w:w="28" w:type="dxa"/>
          <w:bottom w:w="28" w:type="dxa"/>
          <w:right w:w="28" w:type="dxa"/>
        </w:tblCellMar>
      </w:tblPr>
      <w:tblGrid>
        <w:gridCol w:w="583"/>
        <w:gridCol w:w="512"/>
        <w:gridCol w:w="524"/>
        <w:gridCol w:w="213"/>
        <w:gridCol w:w="637"/>
        <w:gridCol w:w="110"/>
        <w:gridCol w:w="109"/>
        <w:gridCol w:w="109"/>
        <w:gridCol w:w="109"/>
        <w:gridCol w:w="216"/>
        <w:gridCol w:w="632"/>
        <w:gridCol w:w="111"/>
        <w:gridCol w:w="109"/>
        <w:gridCol w:w="109"/>
        <w:gridCol w:w="109"/>
        <w:gridCol w:w="260"/>
        <w:gridCol w:w="779"/>
        <w:gridCol w:w="134"/>
        <w:gridCol w:w="134"/>
        <w:gridCol w:w="134"/>
        <w:gridCol w:w="134"/>
        <w:gridCol w:w="260"/>
        <w:gridCol w:w="761"/>
        <w:gridCol w:w="190"/>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Capital Spending</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 and Amortization</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1,563</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1,266</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(a)Asset and other balance sheet information for segments is not provided to our chief operating decision maker.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2 - Recently Issued Accounting Pronouncements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Adopted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July 2025, the Financial Accounting Standards Board (FASB) issued guidance to provide for a practical expedient that an entity may assume that conditions as of the balance sheet date remain unchanged over the remaining life of the asset when estimating expected credit losses for current accounts receivable and current contract assets arising from revenue transactions from contracts with customers. We adopted the guidance in the first quarter of 2026, on a prospective basis. The adoption did not have a material impact on our condensed consolidated financial statements.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Not Yet Adopted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In September 2025, the FASB issued guidance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retrospectively or using a modified transition approach. We are evaluating the impact of this guidance on our consolidated financial statements.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November 2024, the FASB issued guidance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 relevant expense caption is an expense caption presented on the face of the income statement that contains any of the expense categories noted. Additionally, on an annual and interim basis, a qualitative description is required for amounts remaining in relevant expense captions that are not separately disaggregated quantitatively.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will adopt the guidance when it becomes effective, in our 2027 annual reporting and each quarter thereafter, on a prospective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3 - Restructuring and Impairment Charges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2019 Multi-Year Productivity Plan (2019 Productivity Plan)</w:t>
      </w:r>
    </w:p>
    <w:p>
      <w:pPr>
        <w:pStyle w:val="TextBody"/>
        <w:bidi w:val="0"/>
        <w:spacing w:lineRule="auto" w:line="288" w:before="120" w:after="120"/>
        <w:jc w:val="both"/>
        <w:rPr/>
      </w:pPr>
      <w:r>
        <w:rPr>
          <w:rFonts w:ascii="Times New Roman;serif" w:hAnsi="Times New Roman;serif"/>
          <w:b w:val="false"/>
          <w:color w:val="000000"/>
          <w:sz w:val="24"/>
        </w:rPr>
        <w:t xml:space="preserve">The 2019 Productivity Plan leverages new technology and business models to further simplify, harmonize and automate processes; re-engineers our go-to-market and information systems, </w:t>
      </w:r>
      <w:r>
        <w:rPr>
          <w:rFonts w:ascii="Times New Roman;serif" w:hAnsi="Times New Roman;serif"/>
          <w:b w:val="false"/>
          <w:color w:val="000000"/>
          <w:sz w:val="24"/>
          <w:shd w:fill="FFFFFF" w:val="clear"/>
        </w:rPr>
        <w:t>including deploying the</w:t>
      </w:r>
      <w:r>
        <w:rPr>
          <w:color w:val="000000"/>
        </w:rPr>
        <w:t xml:space="preserve"> </w:t>
      </w:r>
      <w:r>
        <w:rPr>
          <w:rFonts w:ascii="Times New Roman;serif" w:hAnsi="Times New Roman;serif"/>
          <w:b w:val="false"/>
          <w:color w:val="000000"/>
          <w:sz w:val="24"/>
        </w:rPr>
        <w:t>right automation for each market; and simplifies our organization and optimizes our manufacturing and supply chain footprint. To build on the successful implementation of the 2019 Productivity Plan, in 2024, we further expanded and extended the plan through the end of 2030 to take advantage of additional opportunities within the initiatives described above. As a result, we expect to incur pre-tax charges of approximately $6.15 billion, including cash expenditures of approximately $5.1 billion. These pre-tax charges are expected to consist of approximately 50% of severance and other employee-related costs, 15% for asset impairments (all non-cash) resulting from plant closures and related actions, and 35% for other costs associated with the implementation of our initiatives.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total plan pre-tax charges are expected to be incurred by segment approximately as follows:</w:t>
      </w:r>
    </w:p>
    <w:tbl>
      <w:tblPr>
        <w:tblW w:w="10205" w:type="dxa"/>
        <w:jc w:val="left"/>
        <w:tblInd w:w="0" w:type="dxa"/>
        <w:tblLayout w:type="fixed"/>
        <w:tblCellMar>
          <w:top w:w="28" w:type="dxa"/>
          <w:left w:w="28" w:type="dxa"/>
          <w:bottom w:w="28" w:type="dxa"/>
          <w:right w:w="28" w:type="dxa"/>
        </w:tblCellMar>
      </w:tblPr>
      <w:tblGrid>
        <w:gridCol w:w="592"/>
        <w:gridCol w:w="520"/>
        <w:gridCol w:w="522"/>
        <w:gridCol w:w="180"/>
        <w:gridCol w:w="181"/>
        <w:gridCol w:w="342"/>
        <w:gridCol w:w="109"/>
        <w:gridCol w:w="109"/>
        <w:gridCol w:w="109"/>
        <w:gridCol w:w="180"/>
        <w:gridCol w:w="181"/>
        <w:gridCol w:w="351"/>
        <w:gridCol w:w="109"/>
        <w:gridCol w:w="109"/>
        <w:gridCol w:w="109"/>
        <w:gridCol w:w="243"/>
        <w:gridCol w:w="243"/>
        <w:gridCol w:w="609"/>
        <w:gridCol w:w="109"/>
        <w:gridCol w:w="109"/>
        <w:gridCol w:w="109"/>
        <w:gridCol w:w="180"/>
        <w:gridCol w:w="181"/>
        <w:gridCol w:w="383"/>
        <w:gridCol w:w="109"/>
        <w:gridCol w:w="109"/>
        <w:gridCol w:w="109"/>
        <w:gridCol w:w="248"/>
        <w:gridCol w:w="229"/>
        <w:gridCol w:w="573"/>
        <w:gridCol w:w="109"/>
        <w:gridCol w:w="109"/>
        <w:gridCol w:w="109"/>
        <w:gridCol w:w="281"/>
        <w:gridCol w:w="281"/>
        <w:gridCol w:w="701"/>
        <w:gridCol w:w="109"/>
        <w:gridCol w:w="109"/>
        <w:gridCol w:w="109"/>
        <w:gridCol w:w="211"/>
        <w:gridCol w:w="211"/>
        <w:gridCol w:w="62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pre-tax charges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2019 Productivity Plan charges is as follows:</w:t>
      </w:r>
    </w:p>
    <w:tbl>
      <w:tblPr>
        <w:tblW w:w="10171" w:type="dxa"/>
        <w:jc w:val="center"/>
        <w:tblInd w:w="0" w:type="dxa"/>
        <w:tblLayout w:type="fixed"/>
        <w:tblCellMar>
          <w:top w:w="28" w:type="dxa"/>
          <w:left w:w="28" w:type="dxa"/>
          <w:bottom w:w="28" w:type="dxa"/>
          <w:right w:w="28" w:type="dxa"/>
        </w:tblCellMar>
      </w:tblPr>
      <w:tblGrid>
        <w:gridCol w:w="1922"/>
        <w:gridCol w:w="1683"/>
        <w:gridCol w:w="1704"/>
        <w:gridCol w:w="223"/>
        <w:gridCol w:w="621"/>
        <w:gridCol w:w="115"/>
        <w:gridCol w:w="109"/>
        <w:gridCol w:w="109"/>
        <w:gridCol w:w="109"/>
        <w:gridCol w:w="223"/>
        <w:gridCol w:w="621"/>
        <w:gridCol w:w="115"/>
        <w:gridCol w:w="109"/>
        <w:gridCol w:w="109"/>
        <w:gridCol w:w="109"/>
        <w:gridCol w:w="223"/>
        <w:gridCol w:w="621"/>
        <w:gridCol w:w="115"/>
        <w:gridCol w:w="109"/>
        <w:gridCol w:w="109"/>
        <w:gridCol w:w="109"/>
        <w:gridCol w:w="223"/>
        <w:gridCol w:w="619"/>
        <w:gridCol w:w="162"/>
      </w:tblGrid>
      <w:tr>
        <w:trPr/>
        <w:tc>
          <w:tcPr>
            <w:tcW w:w="192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(a)</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pension and retiree medical benefits (income)/expense </w:t>
            </w:r>
            <w:r>
              <w:rPr>
                <w:rFonts w:ascii="Times New Roman;serif" w:hAnsi="Times New Roman;serif"/>
                <w:b w:val="false"/>
                <w:color w:val="000000"/>
                <w:sz w:val="13"/>
              </w:rPr>
              <w:t>(a)</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amount</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net income attributable to PepsiCo per common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9719" w:type="dxa"/>
        <w:jc w:val="center"/>
        <w:tblInd w:w="0" w:type="dxa"/>
        <w:tblLayout w:type="fixed"/>
        <w:tblCellMar>
          <w:top w:w="28" w:type="dxa"/>
          <w:left w:w="28" w:type="dxa"/>
          <w:bottom w:w="28" w:type="dxa"/>
          <w:right w:w="28" w:type="dxa"/>
        </w:tblCellMar>
      </w:tblPr>
      <w:tblGrid>
        <w:gridCol w:w="1026"/>
        <w:gridCol w:w="901"/>
        <w:gridCol w:w="922"/>
        <w:gridCol w:w="291"/>
        <w:gridCol w:w="519"/>
        <w:gridCol w:w="150"/>
        <w:gridCol w:w="109"/>
        <w:gridCol w:w="109"/>
        <w:gridCol w:w="109"/>
        <w:gridCol w:w="257"/>
        <w:gridCol w:w="569"/>
        <w:gridCol w:w="133"/>
        <w:gridCol w:w="109"/>
        <w:gridCol w:w="109"/>
        <w:gridCol w:w="109"/>
        <w:gridCol w:w="253"/>
        <w:gridCol w:w="577"/>
        <w:gridCol w:w="130"/>
        <w:gridCol w:w="109"/>
        <w:gridCol w:w="109"/>
        <w:gridCol w:w="109"/>
        <w:gridCol w:w="257"/>
        <w:gridCol w:w="569"/>
        <w:gridCol w:w="133"/>
        <w:gridCol w:w="109"/>
        <w:gridCol w:w="109"/>
        <w:gridCol w:w="109"/>
        <w:gridCol w:w="364"/>
        <w:gridCol w:w="1092"/>
        <w:gridCol w:w="268"/>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Plan-to-Date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through 6/13/2026</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PBNA </w:t>
            </w:r>
            <w:r>
              <w:rPr>
                <w:rFonts w:ascii="Times New Roman;serif" w:hAnsi="Times New Roman;serif"/>
                <w:b w:val="false"/>
                <w:color w:val="000000"/>
                <w:sz w:val="13"/>
              </w:rPr>
              <w:t>(a)</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788</w:t>
            </w: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w:t>
            </w: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3,646</w:t>
            </w: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w:t>
            </w:r>
          </w:p>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benefits (income)/expense </w:t>
            </w:r>
            <w:r>
              <w:rPr>
                <w:rFonts w:ascii="Times New Roman;serif" w:hAnsi="Times New Roman;serif"/>
                <w:b w:val="false"/>
                <w:color w:val="000000"/>
                <w:sz w:val="13"/>
              </w:rPr>
              <w:t>(a)</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3,792</w:t>
            </w: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(a)Income amount represents adjustments for changes in estimates of previously recorded amounts.</w:t>
      </w:r>
    </w:p>
    <w:tbl>
      <w:tblPr>
        <w:tblW w:w="9915" w:type="dxa"/>
        <w:jc w:val="center"/>
        <w:tblInd w:w="0" w:type="dxa"/>
        <w:tblLayout w:type="fixed"/>
        <w:tblCellMar>
          <w:top w:w="28" w:type="dxa"/>
          <w:left w:w="28" w:type="dxa"/>
          <w:bottom w:w="28" w:type="dxa"/>
          <w:right w:w="28" w:type="dxa"/>
        </w:tblCellMar>
      </w:tblPr>
      <w:tblGrid>
        <w:gridCol w:w="1101"/>
        <w:gridCol w:w="969"/>
        <w:gridCol w:w="975"/>
        <w:gridCol w:w="291"/>
        <w:gridCol w:w="519"/>
        <w:gridCol w:w="150"/>
        <w:gridCol w:w="109"/>
        <w:gridCol w:w="109"/>
        <w:gridCol w:w="109"/>
        <w:gridCol w:w="257"/>
        <w:gridCol w:w="569"/>
        <w:gridCol w:w="133"/>
        <w:gridCol w:w="109"/>
        <w:gridCol w:w="109"/>
        <w:gridCol w:w="109"/>
        <w:gridCol w:w="253"/>
        <w:gridCol w:w="577"/>
        <w:gridCol w:w="130"/>
        <w:gridCol w:w="109"/>
        <w:gridCol w:w="109"/>
        <w:gridCol w:w="109"/>
        <w:gridCol w:w="257"/>
        <w:gridCol w:w="569"/>
        <w:gridCol w:w="133"/>
        <w:gridCol w:w="109"/>
        <w:gridCol w:w="109"/>
        <w:gridCol w:w="109"/>
        <w:gridCol w:w="364"/>
        <w:gridCol w:w="1092"/>
        <w:gridCol w:w="268"/>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Plan-to-Date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through 6/13/2026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 costs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1,840</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8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w:t>
            </w:r>
            <w:r>
              <w:rPr>
                <w:color w:val="000000"/>
              </w:rPr>
              <w:t>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1,347</w:t>
            </w: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3,792</w:t>
            </w:r>
            <w:r>
              <w:rPr>
                <w:color w:val="000000"/>
              </w:rPr>
              <w:t> </w:t>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and other employee costs primarily include severance and other termination benefits. Other costs primarily include costs associated with the implementation of our initiatives, including contract termination costs, consulting and other professional fees.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2019 Productivity Plan activity for the 24 weeks ended June 13, 2026 is as follows:</w:t>
      </w:r>
    </w:p>
    <w:tbl>
      <w:tblPr>
        <w:tblW w:w="10205" w:type="dxa"/>
        <w:jc w:val="center"/>
        <w:tblInd w:w="0" w:type="dxa"/>
        <w:tblLayout w:type="fixed"/>
        <w:tblCellMar>
          <w:top w:w="28" w:type="dxa"/>
          <w:left w:w="28" w:type="dxa"/>
          <w:bottom w:w="28" w:type="dxa"/>
          <w:right w:w="28" w:type="dxa"/>
        </w:tblCellMar>
      </w:tblPr>
      <w:tblGrid>
        <w:gridCol w:w="1035"/>
        <w:gridCol w:w="904"/>
        <w:gridCol w:w="911"/>
        <w:gridCol w:w="850"/>
        <w:gridCol w:w="1939"/>
        <w:gridCol w:w="439"/>
        <w:gridCol w:w="109"/>
        <w:gridCol w:w="109"/>
        <w:gridCol w:w="109"/>
        <w:gridCol w:w="349"/>
        <w:gridCol w:w="671"/>
        <w:gridCol w:w="181"/>
        <w:gridCol w:w="109"/>
        <w:gridCol w:w="109"/>
        <w:gridCol w:w="109"/>
        <w:gridCol w:w="332"/>
        <w:gridCol w:w="592"/>
        <w:gridCol w:w="172"/>
        <w:gridCol w:w="109"/>
        <w:gridCol w:w="109"/>
        <w:gridCol w:w="109"/>
        <w:gridCol w:w="211"/>
        <w:gridCol w:w="481"/>
        <w:gridCol w:w="157"/>
      </w:tblGrid>
      <w:tr>
        <w:trPr/>
        <w:tc>
          <w:tcPr>
            <w:tcW w:w="10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Asset </w:t>
              <w:b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as of December 27, 2025</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payments </w:t>
            </w:r>
            <w:r>
              <w:rPr>
                <w:rFonts w:ascii="Times New Roman;serif" w:hAnsi="Times New Roman;serif"/>
                <w:b w:val="false"/>
                <w:color w:val="000000"/>
                <w:sz w:val="13"/>
              </w:rPr>
              <w:t>(a)</w:t>
            </w:r>
          </w:p>
        </w:tc>
        <w:tc>
          <w:tcPr>
            <w:tcW w:w="2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 and translation</w:t>
            </w:r>
          </w:p>
        </w:tc>
        <w:tc>
          <w:tcPr>
            <w:tcW w:w="2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as of June 13, 2026</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w:t>
            </w: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(a)Excludes cash expenditures of $2 million reported in the cash flow statement in pension and retiree medical plan contributions.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majority of the restructuring accrual at June 13, 2026 is expected to be paid within a year.</w:t>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Other Productivity Initiatives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There were no material charges related to other productivity and efficiency initiatives outside the scope of the 2019 Productivity Plan.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regularly evaluate different productivity initiatives beyond the productivity plan and other initiatives described above.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information on additional impairment charges, see Notes 1 and 4 for impairment and other charges taken related to the impairments of the Rockstar and Be &amp; Cheery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4 - Intangible Assets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amortizable intangible assets is as follows:</w:t>
      </w:r>
    </w:p>
    <w:tbl>
      <w:tblPr>
        <w:tblW w:w="10205" w:type="dxa"/>
        <w:jc w:val="left"/>
        <w:tblInd w:w="0" w:type="dxa"/>
        <w:tblLayout w:type="fixed"/>
        <w:tblCellMar>
          <w:top w:w="28" w:type="dxa"/>
          <w:left w:w="28" w:type="dxa"/>
          <w:bottom w:w="28" w:type="dxa"/>
          <w:right w:w="28" w:type="dxa"/>
        </w:tblCellMar>
      </w:tblPr>
      <w:tblGrid>
        <w:gridCol w:w="682"/>
        <w:gridCol w:w="395"/>
        <w:gridCol w:w="398"/>
        <w:gridCol w:w="109"/>
        <w:gridCol w:w="109"/>
        <w:gridCol w:w="109"/>
        <w:gridCol w:w="211"/>
        <w:gridCol w:w="631"/>
        <w:gridCol w:w="109"/>
        <w:gridCol w:w="109"/>
        <w:gridCol w:w="109"/>
        <w:gridCol w:w="109"/>
        <w:gridCol w:w="333"/>
        <w:gridCol w:w="999"/>
        <w:gridCol w:w="174"/>
        <w:gridCol w:w="109"/>
        <w:gridCol w:w="109"/>
        <w:gridCol w:w="109"/>
        <w:gridCol w:w="211"/>
        <w:gridCol w:w="631"/>
        <w:gridCol w:w="109"/>
        <w:gridCol w:w="109"/>
        <w:gridCol w:w="109"/>
        <w:gridCol w:w="109"/>
        <w:gridCol w:w="211"/>
        <w:gridCol w:w="616"/>
        <w:gridCol w:w="109"/>
        <w:gridCol w:w="109"/>
        <w:gridCol w:w="109"/>
        <w:gridCol w:w="109"/>
        <w:gridCol w:w="319"/>
        <w:gridCol w:w="954"/>
        <w:gridCol w:w="166"/>
        <w:gridCol w:w="109"/>
        <w:gridCol w:w="109"/>
        <w:gridCol w:w="109"/>
        <w:gridCol w:w="211"/>
        <w:gridCol w:w="616"/>
        <w:gridCol w:w="158"/>
      </w:tblGrid>
      <w:tr>
        <w:trPr/>
        <w:tc>
          <w:tcPr>
            <w:tcW w:w="68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12/27/2025</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Acquired franchise rights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identifiable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(1,946)</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components of indefinite-lived intangible assets are as follows:</w:t>
      </w:r>
    </w:p>
    <w:tbl>
      <w:tblPr>
        <w:tblW w:w="5777" w:type="dxa"/>
        <w:jc w:val="left"/>
        <w:tblInd w:w="0" w:type="dxa"/>
        <w:tblLayout w:type="fixed"/>
        <w:tblCellMar>
          <w:top w:w="28" w:type="dxa"/>
          <w:left w:w="28" w:type="dxa"/>
          <w:bottom w:w="28" w:type="dxa"/>
          <w:right w:w="28" w:type="dxa"/>
        </w:tblCellMar>
      </w:tblPr>
      <w:tblGrid>
        <w:gridCol w:w="1188"/>
        <w:gridCol w:w="1045"/>
        <w:gridCol w:w="1052"/>
        <w:gridCol w:w="211"/>
        <w:gridCol w:w="736"/>
        <w:gridCol w:w="109"/>
        <w:gridCol w:w="109"/>
        <w:gridCol w:w="109"/>
        <w:gridCol w:w="109"/>
        <w:gridCol w:w="215"/>
        <w:gridCol w:w="737"/>
        <w:gridCol w:w="157"/>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Reacquired franchise rights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Acquired franchise rights </w:t>
            </w:r>
            <w:r>
              <w:rPr>
                <w:rFonts w:ascii="Times New Roman;serif" w:hAnsi="Times New Roman;serif"/>
                <w:b w:val="false"/>
                <w:color w:val="000000"/>
                <w:sz w:val="13"/>
              </w:rPr>
              <w:t>(b)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(a)Increase primarily reflects appreciation of the Russian ruble and South African rand.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(b)Increase is primarily related to acquired distribution rights for the Alani Nu brand.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12 weeks ended June 14, 2025, business performance in conjunction with lower expectations of future business performance compared to projections, as well as in contemplation of the Celsius Transaction described in Note 4 to our consolidated financial statements in our 2025 Form 10-K, indicated a deterioration of the significant inputs used to determine the fair value of our indefinite-lived intangible assets in certain markets and required us to perform a quantitative assessment on certain assets. The fair value of our indefinite-lived intangible assets was estimated using discounted cash flows under the income approach, which we consider to be a Level 3 (significant unobservable inputs) measurement. We determined that the carrying value exceeded the fair value, which reflected our most current estimates of future sales and their contributions to operating profit and expected future cash flows (including perpetuity growth assumptions), as well as an increase in the weighted-average cost of capital. As a result of the quantitative assessment, we recorded pre-tax impairment charges of $1.9 billion ($1.4 billion after-tax or $1.05 per share) in impairment of intangible assets, primarily comprised of the Rockstar brand in our PBNA and EMEA segments.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 continuously monitor the performance of all our indefinite-lived intangible assets and will perform our annual impairment assessment during our third quarter; for further information on our policies for indefinite-lived intangible assets, see Note 2 to our consolidated financial statements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Note 5 - Share-Based Compensation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Starting with awards granted in 2026, RSUs and stock options will primarily vest ratably over three years and amortized to expense on a straight-line basis. Additionally, certain executive officers and other senior executives who were previously granted 66% PSUs and 34% long-term cash were granted 60% PSUs and 40% RSUs in 2026. For PSUs granted in 2026, the final payout will be determined over a three-year period based on achievement of specified pre-established financial performance metrics, with PepsiCo’s total shareholder return relative to a specific set of peer companies acting as a multiplier. The Monte Carlo valuation model is used to determine the grant date fair value of the award, reflective of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shareholder return market condition. Share-based compensation expense is adjusted for changes in the expected achievement of pre-established financial performance metrics throughout the three-year performance period.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table summarizes our total share-based compensation expense, which is primarily recorded in selling, general and administrative expenses:</w:t>
      </w:r>
    </w:p>
    <w:tbl>
      <w:tblPr>
        <w:tblW w:w="10205" w:type="dxa"/>
        <w:jc w:val="left"/>
        <w:tblInd w:w="0" w:type="dxa"/>
        <w:tblLayout w:type="fixed"/>
        <w:tblCellMar>
          <w:top w:w="28" w:type="dxa"/>
          <w:left w:w="28" w:type="dxa"/>
          <w:bottom w:w="28" w:type="dxa"/>
          <w:right w:w="28" w:type="dxa"/>
        </w:tblCellMar>
      </w:tblPr>
      <w:tblGrid>
        <w:gridCol w:w="1802"/>
        <w:gridCol w:w="1582"/>
        <w:gridCol w:w="1585"/>
        <w:gridCol w:w="319"/>
        <w:gridCol w:w="575"/>
        <w:gridCol w:w="153"/>
        <w:gridCol w:w="109"/>
        <w:gridCol w:w="109"/>
        <w:gridCol w:w="109"/>
        <w:gridCol w:w="319"/>
        <w:gridCol w:w="575"/>
        <w:gridCol w:w="153"/>
        <w:gridCol w:w="109"/>
        <w:gridCol w:w="109"/>
        <w:gridCol w:w="109"/>
        <w:gridCol w:w="276"/>
        <w:gridCol w:w="645"/>
        <w:gridCol w:w="132"/>
        <w:gridCol w:w="109"/>
        <w:gridCol w:w="109"/>
        <w:gridCol w:w="109"/>
        <w:gridCol w:w="274"/>
        <w:gridCol w:w="639"/>
        <w:gridCol w:w="195"/>
      </w:tblGrid>
      <w:tr>
        <w:trPr/>
        <w:tc>
          <w:tcPr>
            <w:tcW w:w="180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24 Weeks Ended</w:t>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6/14/2025</w:t>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Share-based compensation expense – equity awards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69</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Share-based compensation expense – liability awards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Restructuring charges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71</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167</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table summarizes share-based awards granted under the terms of the PepsiCo, Inc. Long-Term Incentive Plan:</w:t>
      </w:r>
    </w:p>
    <w:tbl>
      <w:tblPr>
        <w:tblW w:w="10205" w:type="dxa"/>
        <w:jc w:val="left"/>
        <w:tblInd w:w="0" w:type="dxa"/>
        <w:tblLayout w:type="fixed"/>
        <w:tblCellMar>
          <w:top w:w="28" w:type="dxa"/>
          <w:left w:w="28" w:type="dxa"/>
          <w:bottom w:w="28" w:type="dxa"/>
          <w:right w:w="28" w:type="dxa"/>
        </w:tblCellMar>
      </w:tblPr>
      <w:tblGrid>
        <w:gridCol w:w="525"/>
        <w:gridCol w:w="460"/>
        <w:gridCol w:w="462"/>
        <w:gridCol w:w="363"/>
        <w:gridCol w:w="363"/>
        <w:gridCol w:w="364"/>
        <w:gridCol w:w="109"/>
        <w:gridCol w:w="109"/>
        <w:gridCol w:w="109"/>
        <w:gridCol w:w="567"/>
        <w:gridCol w:w="2076"/>
        <w:gridCol w:w="275"/>
        <w:gridCol w:w="109"/>
        <w:gridCol w:w="109"/>
        <w:gridCol w:w="109"/>
        <w:gridCol w:w="329"/>
        <w:gridCol w:w="329"/>
        <w:gridCol w:w="331"/>
        <w:gridCol w:w="109"/>
        <w:gridCol w:w="109"/>
        <w:gridCol w:w="109"/>
        <w:gridCol w:w="518"/>
        <w:gridCol w:w="1899"/>
        <w:gridCol w:w="363"/>
      </w:tblGrid>
      <w:tr>
        <w:trPr/>
        <w:tc>
          <w:tcPr>
            <w:tcW w:w="5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24 Weeks Ended</w:t>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6/14/2025</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Granted</w:t>
            </w:r>
            <w:r>
              <w:rPr>
                <w:rFonts w:ascii="Times New Roman;serif" w:hAnsi="Times New Roman;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Weighted-Average Grant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Granted</w:t>
            </w:r>
            <w:r>
              <w:rPr>
                <w:rFonts w:ascii="Times New Roman;serif" w:hAnsi="Times New Roman;serif"/>
                <w:b w:val="false"/>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Weighted-Average Grant Price</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Stock options</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0.9</w:t>
            </w: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2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169.25</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153.75 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RSUs and PSUs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2.4</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2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169.25</w:t>
            </w: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153.71 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(a)In millions. All grant activity is disclosed at target.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the 12 weeks ended June 13, 2026 and June 14, 2025, our grants of stock options, RSUs and PSUs were nominal.</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granted long-term cash awards to certain executive officers and other senior executives with an aggregate target value of $22 million during the 24 weeks ended June 14, 2025. Long-term cash awards granted for the 12 weeks ended June 14, 2025 were nominal.</w:t>
      </w:r>
    </w:p>
    <w:p>
      <w:pPr>
        <w:pStyle w:val="TextBody"/>
        <w:bidi w:val="0"/>
        <w:spacing w:lineRule="auto" w:line="288" w:before="120" w:after="120"/>
        <w:jc w:val="both"/>
        <w:rPr/>
      </w:pPr>
      <w:r>
        <w:rPr>
          <w:rFonts w:ascii="Times New Roman;serif" w:hAnsi="Times New Roman;serif"/>
          <w:b w:val="false"/>
          <w:color w:val="000000"/>
          <w:sz w:val="24"/>
        </w:rPr>
        <w:t>Our weighted-average Black-Scholes fair value assumptions are as follows:</w:t>
      </w:r>
      <w:r>
        <w:rPr>
          <w:color w:val="000000"/>
        </w:rPr>
        <w:t> </w:t>
      </w:r>
    </w:p>
    <w:tbl>
      <w:tblPr>
        <w:tblW w:w="5134" w:type="dxa"/>
        <w:jc w:val="left"/>
        <w:tblInd w:w="0" w:type="dxa"/>
        <w:tblLayout w:type="fixed"/>
        <w:tblCellMar>
          <w:top w:w="28" w:type="dxa"/>
          <w:left w:w="28" w:type="dxa"/>
          <w:bottom w:w="28" w:type="dxa"/>
          <w:right w:w="28" w:type="dxa"/>
        </w:tblCellMar>
      </w:tblPr>
      <w:tblGrid>
        <w:gridCol w:w="874"/>
        <w:gridCol w:w="767"/>
        <w:gridCol w:w="773"/>
        <w:gridCol w:w="296"/>
        <w:gridCol w:w="205"/>
        <w:gridCol w:w="654"/>
        <w:gridCol w:w="139"/>
        <w:gridCol w:w="139"/>
        <w:gridCol w:w="139"/>
        <w:gridCol w:w="244"/>
        <w:gridCol w:w="222"/>
        <w:gridCol w:w="682"/>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24 Weeks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6/13/2026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6/14/2025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Expected life</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 years</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Risk-free interest rate</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3.7</w:t>
            </w: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Expected volatility</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w:t>
            </w: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Expected dividend yield</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3.5</w:t>
            </w: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6 - Pension and Retiree Medical Benefits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components of net periodic benefit cost/(income) for pension and retiree medical plans are as follows:</w:t>
      </w:r>
    </w:p>
    <w:tbl>
      <w:tblPr>
        <w:tblW w:w="10205" w:type="dxa"/>
        <w:jc w:val="left"/>
        <w:tblInd w:w="0" w:type="dxa"/>
        <w:tblLayout w:type="fixed"/>
        <w:tblCellMar>
          <w:top w:w="28" w:type="dxa"/>
          <w:left w:w="28" w:type="dxa"/>
          <w:bottom w:w="28" w:type="dxa"/>
          <w:right w:w="28" w:type="dxa"/>
        </w:tblCellMar>
      </w:tblPr>
      <w:tblGrid>
        <w:gridCol w:w="1215"/>
        <w:gridCol w:w="894"/>
        <w:gridCol w:w="888"/>
        <w:gridCol w:w="285"/>
        <w:gridCol w:w="512"/>
        <w:gridCol w:w="137"/>
        <w:gridCol w:w="109"/>
        <w:gridCol w:w="109"/>
        <w:gridCol w:w="109"/>
        <w:gridCol w:w="285"/>
        <w:gridCol w:w="512"/>
        <w:gridCol w:w="137"/>
        <w:gridCol w:w="109"/>
        <w:gridCol w:w="109"/>
        <w:gridCol w:w="109"/>
        <w:gridCol w:w="285"/>
        <w:gridCol w:w="512"/>
        <w:gridCol w:w="137"/>
        <w:gridCol w:w="109"/>
        <w:gridCol w:w="109"/>
        <w:gridCol w:w="109"/>
        <w:gridCol w:w="285"/>
        <w:gridCol w:w="512"/>
        <w:gridCol w:w="137"/>
        <w:gridCol w:w="109"/>
        <w:gridCol w:w="109"/>
        <w:gridCol w:w="109"/>
        <w:gridCol w:w="322"/>
        <w:gridCol w:w="409"/>
        <w:gridCol w:w="155"/>
        <w:gridCol w:w="112"/>
        <w:gridCol w:w="112"/>
        <w:gridCol w:w="112"/>
        <w:gridCol w:w="316"/>
        <w:gridCol w:w="400"/>
        <w:gridCol w:w="226"/>
      </w:tblGrid>
      <w:tr>
        <w:trPr/>
        <w:tc>
          <w:tcPr>
            <w:tcW w:w="12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12 Weeks Ended</w:t>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Retiree Medical</w:t>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Service cost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4"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rPr>
            </w:pPr>
            <w:r>
              <w:rPr>
                <w:rFonts w:ascii="Times New Roman;serif" w:hAnsi="Times New Roman;serif"/>
                <w:b/>
                <w:i/>
                <w:color w:val="000000"/>
                <w:sz w:val="22"/>
              </w:rPr>
              <w:t>Other pension and retiree medical benefits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cost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return on plan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(191)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prior service cost/(credits)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net losses/(gains)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17</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Settlement/curtailment gains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termination benefits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Total other pension and retiree medical</w:t>
            </w:r>
          </w:p>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benefits income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02"/>
        <w:gridCol w:w="900"/>
        <w:gridCol w:w="890"/>
        <w:gridCol w:w="249"/>
        <w:gridCol w:w="580"/>
        <w:gridCol w:w="119"/>
        <w:gridCol w:w="109"/>
        <w:gridCol w:w="109"/>
        <w:gridCol w:w="109"/>
        <w:gridCol w:w="249"/>
        <w:gridCol w:w="580"/>
        <w:gridCol w:w="119"/>
        <w:gridCol w:w="109"/>
        <w:gridCol w:w="109"/>
        <w:gridCol w:w="109"/>
        <w:gridCol w:w="269"/>
        <w:gridCol w:w="484"/>
        <w:gridCol w:w="129"/>
        <w:gridCol w:w="109"/>
        <w:gridCol w:w="109"/>
        <w:gridCol w:w="109"/>
        <w:gridCol w:w="269"/>
        <w:gridCol w:w="484"/>
        <w:gridCol w:w="129"/>
        <w:gridCol w:w="109"/>
        <w:gridCol w:w="109"/>
        <w:gridCol w:w="109"/>
        <w:gridCol w:w="269"/>
        <w:gridCol w:w="484"/>
        <w:gridCol w:w="129"/>
        <w:gridCol w:w="109"/>
        <w:gridCol w:w="109"/>
        <w:gridCol w:w="109"/>
        <w:gridCol w:w="266"/>
        <w:gridCol w:w="479"/>
        <w:gridCol w:w="191"/>
      </w:tblGrid>
      <w:tr>
        <w:trPr/>
        <w:tc>
          <w:tcPr>
            <w:tcW w:w="13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24 Weeks Ended</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Retiree Medical</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Service cost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17</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rPr>
            </w:pPr>
            <w:r>
              <w:rPr>
                <w:rFonts w:ascii="Times New Roman;serif" w:hAnsi="Times New Roman;serif"/>
                <w:b/>
                <w:i/>
                <w:color w:val="000000"/>
                <w:sz w:val="22"/>
              </w:rPr>
              <w:t>Other pension and retiree medical benefits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cost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65</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return on plan assets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prior service cost/(credits)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net losses/(gains)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Settlement/curtailment gains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termination benefits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pension and retiree medical benefits income</w:t>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(103)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regularly evaluate opportunities to reduce risk and volatility associated with our pension and retiree medical plans. In addition, lump sum payments may result in settlement charges in future periods.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In the 24 weeks ended June 13, 2026 and June 14, 2025, we made discretionary contributions of $200 million and $250 million, respectively, to our U.S. qualified defined benefit plans, and $52 million and $29 million, respectively, to our international defined benefit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 xml:space="preserve">Note 7 - Debt Obligations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the 24 weeks ended June 13, 2026, we issued the following notes:</w:t>
      </w:r>
    </w:p>
    <w:tbl>
      <w:tblPr>
        <w:tblW w:w="6226" w:type="dxa"/>
        <w:jc w:val="center"/>
        <w:tblInd w:w="0" w:type="dxa"/>
        <w:tblLayout w:type="fixed"/>
        <w:tblCellMar>
          <w:top w:w="28" w:type="dxa"/>
          <w:left w:w="28" w:type="dxa"/>
          <w:bottom w:w="28" w:type="dxa"/>
          <w:right w:w="28" w:type="dxa"/>
        </w:tblCellMar>
      </w:tblPr>
      <w:tblGrid>
        <w:gridCol w:w="384"/>
        <w:gridCol w:w="337"/>
        <w:gridCol w:w="814"/>
        <w:gridCol w:w="109"/>
        <w:gridCol w:w="109"/>
        <w:gridCol w:w="109"/>
        <w:gridCol w:w="519"/>
        <w:gridCol w:w="519"/>
        <w:gridCol w:w="521"/>
        <w:gridCol w:w="109"/>
        <w:gridCol w:w="109"/>
        <w:gridCol w:w="109"/>
        <w:gridCol w:w="774"/>
        <w:gridCol w:w="774"/>
        <w:gridCol w:w="776"/>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Principal Amount</w:t>
            </w:r>
            <w:r>
              <w:rPr>
                <w:rFonts w:ascii="Times New Roman;serif" w:hAnsi="Times New Roman;serif"/>
                <w:b/>
                <w:color w:val="000000"/>
                <w:sz w:val="16"/>
              </w:rPr>
              <w:t>(a) (b)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500 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3.300 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650 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3.700 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850 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4.150 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500 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(a)Excludes debt issuance costs, discounts and premiums.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(b)These notes, issued in euros, were designated as net investment hedges to partially offset the effects of foreign currency on our investments in certain of our foreign subsidiaries.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net proceeds from the issuances of the above notes were used for general corporate purposes, including the repayment of commercial paper.</w:t>
      </w:r>
    </w:p>
    <w:p>
      <w:pPr>
        <w:pStyle w:val="TextBody"/>
        <w:bidi w:val="0"/>
        <w:spacing w:lineRule="auto" w:line="288" w:before="120" w:after="120"/>
        <w:jc w:val="both"/>
        <w:rPr/>
      </w:pPr>
      <w:r>
        <w:rPr>
          <w:rFonts w:ascii="Times New Roman;serif" w:hAnsi="Times New Roman;serif"/>
          <w:b w:val="false"/>
          <w:color w:val="000000"/>
          <w:sz w:val="24"/>
        </w:rPr>
        <w:t xml:space="preserve">In the 24 weeks ended </w:t>
      </w:r>
      <w:r>
        <w:rPr>
          <w:rFonts w:ascii="Times New Roman;serif" w:hAnsi="Times New Roman;serif"/>
          <w:b w:val="false"/>
          <w:color w:val="000000"/>
          <w:sz w:val="24"/>
          <w:shd w:fill="FFFFFF" w:val="clear"/>
        </w:rPr>
        <w:t>June 13, 2026</w:t>
      </w:r>
      <w:r>
        <w:rPr>
          <w:rFonts w:ascii="Times New Roman;serif" w:hAnsi="Times New Roman;serif"/>
          <w:b w:val="false"/>
          <w:color w:val="000000"/>
          <w:sz w:val="24"/>
        </w:rPr>
        <w:t>, $1.6 billion of U.S. dollar-denominated senior notes and €0.5 billion of euro-denominated senior notes matured and were paid.</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As of </w:t>
      </w:r>
      <w:r>
        <w:rPr>
          <w:rFonts w:ascii="Times New Roman;serif" w:hAnsi="Times New Roman;serif"/>
          <w:b w:val="false"/>
          <w:color w:val="000000"/>
          <w:sz w:val="24"/>
        </w:rPr>
        <w:t>June 13, 2026</w:t>
      </w:r>
      <w:r>
        <w:rPr>
          <w:rFonts w:ascii="Times New Roman;serif" w:hAnsi="Times New Roman;serif"/>
          <w:b w:val="false"/>
          <w:color w:val="000000"/>
          <w:sz w:val="24"/>
          <w:shd w:fill="FFFFFF" w:val="clear"/>
        </w:rPr>
        <w:t>, we had $6.1 billion of commercial paper outstanding, excluding discounts.</w:t>
      </w:r>
    </w:p>
    <w:p>
      <w:pPr>
        <w:pStyle w:val="TextBody"/>
        <w:bidi w:val="0"/>
        <w:spacing w:lineRule="auto" w:line="288" w:before="120" w:after="120"/>
        <w:jc w:val="both"/>
        <w:rPr>
          <w:rFonts w:ascii="Times New Roman;serif" w:hAnsi="Times New Roman;serif"/>
          <w:b w:val="false"/>
          <w:color w:val="000000"/>
          <w:sz w:val="24"/>
        </w:rPr>
      </w:pPr>
      <w:bookmarkStart w:id="5" w:name="i6113b63fd2674600acf3232e63e55547_9230"/>
      <w:bookmarkEnd w:id="5"/>
      <w:r>
        <w:rPr>
          <w:rFonts w:ascii="Times New Roman;serif" w:hAnsi="Times New Roman;serif"/>
          <w:b w:val="false"/>
          <w:color w:val="000000"/>
          <w:sz w:val="24"/>
        </w:rPr>
        <w:t>In the 12 and 24 weeks ended June 13, 2026, we entered into a new five-year unsecured revolving credit agreement (2026 Five-Year Credit Agreement), which expires on May 22, 2031. The 2026 Five-Year Credit Agreement enables us and our borrowing subsidiaries to borrow up to $5.0 billion in U.S. dollars and/or euros, including a $1.2 billion swing line subfacility for euro-denominated borrowings permitted to be borrowed on a same-day basis, subject to customary terms and conditions. We may request that commitments under this agreement be increased up to $5.75 billion (or the equivalent amount in euros). Additionally, we may, up to two times during the term of the 2026 Five-Year Credit Agreement, request renewal of the agreement for an additional one-year period. The 2026 Five-Year Credit Agreement replaced our $5.0 billion five-year credit agreement, dated as of May 23,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Also in the 12 and 24 weeks ended June 13, 2026, we entered into a new 364-day unsecured revolving credit agreement (2026 364-Day Credit Agreement), which expires on May 21, 2027. The 2026 364-Day Credit Agreement enables us and our borrowing subsidiaries to borrow up to $5.0 billion in U.S. dollars and/or euros, subject to customary terms and conditions. We may request that commitments under this agreement be increased up to $5.75 billion (or the equivalent amount in euros). We may request renewal of this facility for an additional 364-day period or convert any amounts outstanding into a term loan for a period of up to one year, which term loan would mature no later than the anniversary of the then effective termination date. The 2026 364-Day Credit Agreement replaced our $5.0 billion 364-day credit agreement, dated as of May 23,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Funds borrowed under the 2026 Five-Year Credit Agreement and the 2026 364-Day Credit Agreement may be used for general corporate purposes. Subject to certain conditions, we may borrow, prepay and reborrow amounts under these agreements. As of June 13, 2026, there were no outstanding borrowings under the 2026 Five-Year Credit Agreement or the 2026 364-Day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8 - Financial Instruments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are exposed to market risks arising from adverse changes 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commodity prices, affecting the cost of our raw materials and energy;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foreign exchange rates and currency restrictions;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There have been no material changes during the 24 weeks ended June 13, 2026 with respect to our risk management policies or strategies and valuation techniques used in measuring the fair value of the financial assets or liabilities disclosed in Note 9 to our consolidated financial statements in our 2025 Form 10-K.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Certain of our agreements with our counterparties require us to post full collateral on derivative instruments in a net liability position if our credit rating is at A2 (Moody’s Investors Service, Inc.) or A (S&amp;P Global Ratings) and we have been placed on credit watch for possible downgrade or if our credit rating falls below either of these levels. The fair value of all derivative instruments with credit-risk-related contingent features that were in a net liability position as of June 13, 2026 was $53 million. We have posted no collateral under these contracts and no credit-risk-related contingent features were triggered as of June 13, 2026.</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notional amounts of our financial instruments used to hedge the above risks are as follows:</w:t>
      </w:r>
    </w:p>
    <w:tbl>
      <w:tblPr>
        <w:tblW w:w="6009" w:type="dxa"/>
        <w:jc w:val="center"/>
        <w:tblInd w:w="0" w:type="dxa"/>
        <w:tblLayout w:type="fixed"/>
        <w:tblCellMar>
          <w:top w:w="28" w:type="dxa"/>
          <w:left w:w="28" w:type="dxa"/>
          <w:bottom w:w="28" w:type="dxa"/>
          <w:right w:w="28" w:type="dxa"/>
        </w:tblCellMar>
      </w:tblPr>
      <w:tblGrid>
        <w:gridCol w:w="1222"/>
        <w:gridCol w:w="1075"/>
        <w:gridCol w:w="1078"/>
        <w:gridCol w:w="261"/>
        <w:gridCol w:w="678"/>
        <w:gridCol w:w="126"/>
        <w:gridCol w:w="113"/>
        <w:gridCol w:w="113"/>
        <w:gridCol w:w="113"/>
        <w:gridCol w:w="328"/>
        <w:gridCol w:w="678"/>
        <w:gridCol w:w="22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Notional Amounts</w:t>
            </w:r>
            <w:r>
              <w:rPr>
                <w:rFonts w:ascii="Times New Roman;serif" w:hAnsi="Times New Roman;serif"/>
                <w:b/>
                <w:color w:val="000000"/>
                <w:sz w:val="16"/>
              </w:rPr>
              <w:t>(a)</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6/13/2026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12/27/2025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Commodity contracts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rate swap contracts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(b)</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2.9</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Cross-currency contracts </w:t>
            </w:r>
            <w:r>
              <w:rPr>
                <w:rFonts w:ascii="Times New Roman;serif" w:hAnsi="Times New Roman;serif"/>
                <w:b w:val="false"/>
                <w:color w:val="000000"/>
                <w:sz w:val="16"/>
              </w:rPr>
              <w:t>(c)</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Non-derivative debt instruments </w:t>
            </w:r>
            <w:r>
              <w:rPr>
                <w:rFonts w:ascii="Times New Roman;serif" w:hAnsi="Times New Roman;serif"/>
                <w:b w:val="false"/>
                <w:color w:val="000000"/>
                <w:sz w:val="16"/>
              </w:rPr>
              <w:t>(b)</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11.7</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 billions.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(b)During the 24 weeks ended June 13, 2026, we designated $4.5 billion of existing euro denominated debt and $2.9 billion of euro denominated debt issued in February 2026 as net investment hedges to partially offset the effects of foreign currency on our investments in certain of our foreign operations. As of June 13, 2026, there are no foreign exchange contracts designated as net investment hedges.</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(c)During the 12 and 24 weeks ended June 13, 2026, U.S. dollar for euro cross-currency interest rate swaps with a total notional amount of $0.7 billion matured. </w:t>
      </w:r>
      <w:bookmarkStart w:id="6" w:name="i02b103fd966d4e06a009ced0f6d3d6ae_13278"/>
      <w:bookmarkEnd w:id="6"/>
      <w:r>
        <w:rPr>
          <w:rFonts w:ascii="Times New Roman;serif" w:hAnsi="Times New Roman;serif"/>
          <w:b w:val="false"/>
          <w:color w:val="000000"/>
          <w:sz w:val="18"/>
        </w:rPr>
        <w:t>Subsequent to June 13, 2026, we entered into Thai baht for U.S. dollar cross-currency interest rate swaps with a total notional amount of $0.3 billion and maturity dates ranging from May 2027 to May 2031. The cross-currency interest rate swaps are designated as net investment hedges to hedge the net assets of certain foreign operations with Thai baht functional currency.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of June 13, 2026, approximately 17% of total debt was subject to variable rates, after the impact of the related interest rate swap contracts, compared to approximately 11% as of December 27, 2025.</w:t>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Debt Securities</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Available-for-Sale</w:t>
      </w:r>
    </w:p>
    <w:p>
      <w:pPr>
        <w:pStyle w:val="TextBody"/>
        <w:bidi w:val="0"/>
        <w:spacing w:lineRule="auto" w:line="288" w:before="120" w:after="60"/>
        <w:jc w:val="both"/>
        <w:rPr>
          <w:rFonts w:ascii="Times New Roman;serif" w:hAnsi="Times New Roman;serif"/>
          <w:b w:val="false"/>
          <w:color w:val="000000"/>
          <w:sz w:val="24"/>
        </w:rPr>
      </w:pPr>
      <w:r>
        <w:rPr>
          <w:rFonts w:ascii="Times New Roman;serif" w:hAnsi="Times New Roman;serif"/>
          <w:b w:val="false"/>
          <w:color w:val="000000"/>
          <w:sz w:val="24"/>
        </w:rPr>
        <w:t>The activity related to our Level 3 investments in certain available-for-sale debt securities is as follows:</w:t>
      </w:r>
    </w:p>
    <w:tbl>
      <w:tblPr>
        <w:tblW w:w="9815" w:type="dxa"/>
        <w:jc w:val="left"/>
        <w:tblInd w:w="0" w:type="dxa"/>
        <w:tblLayout w:type="fixed"/>
        <w:tblCellMar>
          <w:top w:w="28" w:type="dxa"/>
          <w:left w:w="28" w:type="dxa"/>
          <w:bottom w:w="28" w:type="dxa"/>
          <w:right w:w="28" w:type="dxa"/>
        </w:tblCellMar>
      </w:tblPr>
      <w:tblGrid>
        <w:gridCol w:w="1635"/>
        <w:gridCol w:w="1435"/>
        <w:gridCol w:w="1445"/>
        <w:gridCol w:w="109"/>
        <w:gridCol w:w="109"/>
        <w:gridCol w:w="109"/>
        <w:gridCol w:w="109"/>
        <w:gridCol w:w="213"/>
        <w:gridCol w:w="637"/>
        <w:gridCol w:w="110"/>
        <w:gridCol w:w="109"/>
        <w:gridCol w:w="109"/>
        <w:gridCol w:w="109"/>
        <w:gridCol w:w="216"/>
        <w:gridCol w:w="632"/>
        <w:gridCol w:w="111"/>
        <w:gridCol w:w="109"/>
        <w:gridCol w:w="109"/>
        <w:gridCol w:w="109"/>
        <w:gridCol w:w="213"/>
        <w:gridCol w:w="637"/>
        <w:gridCol w:w="110"/>
        <w:gridCol w:w="109"/>
        <w:gridCol w:w="109"/>
        <w:gridCol w:w="109"/>
        <w:gridCol w:w="216"/>
        <w:gridCol w:w="631"/>
        <w:gridCol w:w="157"/>
      </w:tblGrid>
      <w:tr>
        <w:trPr/>
        <w:tc>
          <w:tcPr>
            <w:tcW w:w="16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331" w:type="dxa"/>
            <w:gridSpan w:val="6"/>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904" w:type="dxa"/>
            <w:gridSpan w:val="18"/>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Celsius Holdings, Inc. (Celsius):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available-for-sale 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1,712</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1,712</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There were no impairment charges related to our investments in available-for-sale debt securities in both the 24 weeks ended June 13, 2026 and June 14, 2025. There were net unrealized gains of $473 million and $526 million as of June 13, 2026 and June 14, 2025, respectively, associated with our available-for-sale debt securities.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Recurring Fair Value Measurements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fair values of our financial assets and liabilities are categorized as follows:</w:t>
      </w:r>
    </w:p>
    <w:tbl>
      <w:tblPr>
        <w:tblW w:w="10205" w:type="dxa"/>
        <w:jc w:val="left"/>
        <w:tblInd w:w="0" w:type="dxa"/>
        <w:tblLayout w:type="fixed"/>
        <w:tblCellMar>
          <w:top w:w="28" w:type="dxa"/>
          <w:left w:w="28" w:type="dxa"/>
          <w:bottom w:w="28" w:type="dxa"/>
          <w:right w:w="28" w:type="dxa"/>
        </w:tblCellMar>
      </w:tblPr>
      <w:tblGrid>
        <w:gridCol w:w="899"/>
        <w:gridCol w:w="790"/>
        <w:gridCol w:w="792"/>
        <w:gridCol w:w="657"/>
        <w:gridCol w:w="657"/>
        <w:gridCol w:w="659"/>
        <w:gridCol w:w="109"/>
        <w:gridCol w:w="109"/>
        <w:gridCol w:w="109"/>
        <w:gridCol w:w="226"/>
        <w:gridCol w:w="706"/>
        <w:gridCol w:w="109"/>
        <w:gridCol w:w="109"/>
        <w:gridCol w:w="109"/>
        <w:gridCol w:w="109"/>
        <w:gridCol w:w="311"/>
        <w:gridCol w:w="727"/>
        <w:gridCol w:w="151"/>
        <w:gridCol w:w="109"/>
        <w:gridCol w:w="109"/>
        <w:gridCol w:w="109"/>
        <w:gridCol w:w="226"/>
        <w:gridCol w:w="706"/>
        <w:gridCol w:w="109"/>
        <w:gridCol w:w="109"/>
        <w:gridCol w:w="109"/>
        <w:gridCol w:w="109"/>
        <w:gridCol w:w="290"/>
        <w:gridCol w:w="677"/>
        <w:gridCol w:w="205"/>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Fair Value Hierarchy Levels</w:t>
            </w: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6/13/2026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12/27/2025</w:t>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Assets</w:t>
            </w:r>
            <w:r>
              <w:rPr>
                <w:rFonts w:ascii="Times New Roman;serif" w:hAnsi="Times New Roman;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Liabilities</w:t>
            </w: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Assets</w:t>
            </w:r>
            <w:r>
              <w:rPr>
                <w:rFonts w:ascii="Times New Roman;serif" w:hAnsi="Times New Roman;serif"/>
                <w:b w:val="false"/>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Liabilities</w:t>
            </w:r>
            <w:r>
              <w:rPr>
                <w:rFonts w:ascii="Times New Roman;serif" w:hAnsi="Times New Roman;serif"/>
                <w:b w:val="false"/>
                <w:color w:val="000000"/>
                <w:sz w:val="16"/>
              </w:rPr>
              <w:t>(a)</w:t>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Available-for-sale debt securities </w:t>
            </w:r>
            <w:r>
              <w:rPr>
                <w:rFonts w:ascii="Times New Roman;serif" w:hAnsi="Times New Roman;serif"/>
                <w:b w:val="false"/>
                <w:color w:val="000000"/>
                <w:sz w:val="16"/>
              </w:rPr>
              <w:t>(b)</w:t>
            </w:r>
          </w:p>
        </w:tc>
        <w:tc>
          <w:tcPr>
            <w:tcW w:w="1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Index funds </w:t>
            </w:r>
            <w:r>
              <w:rPr>
                <w:rFonts w:ascii="Times New Roman;serif" w:hAnsi="Times New Roman;serif"/>
                <w:b w:val="false"/>
                <w:color w:val="000000"/>
                <w:sz w:val="16"/>
              </w:rPr>
              <w:t>(c)</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Deferred compensation </w:t>
            </w:r>
            <w:r>
              <w:rPr>
                <w:rFonts w:ascii="Times New Roman;serif" w:hAnsi="Times New Roman;serif"/>
                <w:b w:val="false"/>
                <w:color w:val="000000"/>
                <w:sz w:val="16"/>
              </w:rPr>
              <w:t>(d)</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503</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bookmarkStart w:id="7" w:name="i57545e1bf55145a286cd1691eff9ab39_7-0-1-"/>
            <w:bookmarkEnd w:id="7"/>
            <w:r>
              <w:rPr>
                <w:rFonts w:ascii="Times New Roman;serif" w:hAnsi="Times New Roman;serif"/>
                <w:b w:val="false"/>
                <w:color w:val="000000"/>
                <w:sz w:val="24"/>
              </w:rPr>
              <w:t xml:space="preserve">Contingent consideration </w:t>
            </w:r>
            <w:r>
              <w:rPr>
                <w:rFonts w:ascii="Times New Roman;serif" w:hAnsi="Times New Roman;serif"/>
                <w:b w:val="false"/>
                <w:color w:val="000000"/>
                <w:sz w:val="16"/>
              </w:rPr>
              <w:t>(e)</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117</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278 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designated as fair value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Interest rate swap contracts </w:t>
            </w:r>
            <w:r>
              <w:rPr>
                <w:rFonts w:ascii="Times New Roman;serif" w:hAnsi="Times New Roman;serif"/>
                <w:b w:val="false"/>
                <w:color w:val="000000"/>
                <w:sz w:val="16"/>
              </w:rPr>
              <w:t>(f)</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21</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(g)</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20</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Cross-currency contracts </w:t>
            </w:r>
            <w:r>
              <w:rPr>
                <w:rFonts w:ascii="Times New Roman;serif" w:hAnsi="Times New Roman;serif"/>
                <w:b w:val="false"/>
                <w:color w:val="000000"/>
                <w:sz w:val="16"/>
              </w:rPr>
              <w:t>(g)</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Commodity contracts </w:t>
            </w:r>
            <w:r>
              <w:rPr>
                <w:rFonts w:ascii="Times New Roman;serif" w:hAnsi="Times New Roman;serif"/>
                <w:b w:val="false"/>
                <w:color w:val="000000"/>
                <w:sz w:val="16"/>
              </w:rPr>
              <w:t>(h)</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designated as net investment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(g)</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Cross-currency contracts </w:t>
            </w:r>
            <w:r>
              <w:rPr>
                <w:rFonts w:ascii="Times New Roman;serif" w:hAnsi="Times New Roman;serif"/>
                <w:b w:val="false"/>
                <w:color w:val="000000"/>
                <w:sz w:val="16"/>
              </w:rPr>
              <w:t>(g)</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104</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104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(g)</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Commodity contracts </w:t>
            </w:r>
            <w:r>
              <w:rPr>
                <w:rFonts w:ascii="Times New Roman;serif" w:hAnsi="Times New Roman;serif"/>
                <w:b w:val="false"/>
                <w:color w:val="000000"/>
                <w:sz w:val="16"/>
              </w:rPr>
              <w:t>(h)</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Total derivatives at fair value </w:t>
            </w:r>
            <w:r>
              <w:rPr>
                <w:rFonts w:ascii="Times New Roman;serif" w:hAnsi="Times New Roman;serif"/>
                <w:b w:val="false"/>
                <w:color w:val="000000"/>
                <w:sz w:val="16"/>
              </w:rPr>
              <w:t>(i)</w:t>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156</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w:t>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2,295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776</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(a)Fair value hierarchy levels are categorized consistently by Level 1 (quoted prices in active markets for identical assets), Level 2 (significant other observable inputs) and Level 3 in both years. Unless otherwise noted, financial assets are classified on our balance sheet within prepaid expenses and other current assets and other assets. Financial liabilities are classified on our balance sheet within accounts </w:t>
      </w:r>
      <w:r>
        <w:rPr>
          <w:rFonts w:ascii="Times New Roman;serif" w:hAnsi="Times New Roman;serif"/>
          <w:b w:val="false"/>
          <w:color w:val="000000"/>
          <w:sz w:val="18"/>
          <w:shd w:fill="FFFFFF" w:val="clear"/>
        </w:rPr>
        <w:t>payable and other current liabilities and other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(b)Classified as other assets. The fair value of our investment in Celsius is estimated using probability-weighted discounted future cash flows based on a Monte Carlo simulation using significant unobservable inputs, such as an 80% probability that a certain market-based condition will be met and an average estimated discount rate of 8.9% and 8.5% as of June 13, 2026 and December 27, 2025, respectively. The fair value of the other investment is estimated using a lattice model primarily based on the underlying stock price, volatility and certain significant unobservable inputs, such as a discount rate of 8.3% based on an estimated synthetic credit rating. An increase in the probability that certain market-based conditions will be met or a decrease in the discount rate would result in a higher fair value measurement, while a decrease in the probability that certain market-based conditions will be met or an increase in the discount rate would result in a lower fair value measurement.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(c)Based on the price of index funds. These investments are classified as short-term investments and are used to manage a portion of market risk arising from our deferred compensation liability.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(d)Based on the fair value of investments corresponding to employees’ investment elections.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(e)In connection with our acquisition of VNGR Beverage, LLC (poppi), we recorded a liability at fair value for the contingent consideration of $300 million payable upon achievement of certain performance milestones by the third quarter of 2027. If these performance milestones are not met, no payment will be made. The fair value of the liability is estimated using discounted future cash flows based on a Monte Carlo simulation using significant unobservable inputs such as forecasts of net revenue and margin. An increase in the net revenue and margin forecasts would result in a higher fair value measurement, while a decrease in the net revenue and margin forecasts would result in a lower fair value measurement. </w:t>
      </w:r>
      <w:bookmarkStart w:id="8" w:name="i02b103fd966d4e06a009ced0f6d3d6ae_7569"/>
      <w:bookmarkStart w:id="9" w:name="i02b103fd966d4e06a009ced0f6d3d6ae_13282"/>
      <w:bookmarkEnd w:id="8"/>
      <w:bookmarkEnd w:id="9"/>
      <w:r>
        <w:rPr>
          <w:rFonts w:ascii="Times New Roman;serif" w:hAnsi="Times New Roman;serif"/>
          <w:b w:val="false"/>
          <w:color w:val="000000"/>
          <w:sz w:val="18"/>
        </w:rPr>
        <w:t>As of June 13, 2026, the fair value of the contingent consideration was $117 million, reflecting a fair value decrease of $45 million and $161 million in the 12 and 24 weeks ended June 13, 2026, respectively, recorded in selling, general and administrative expenses.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(f)Based on Secured Overnight Financing Rate forward rates. As of June 13, 2026, the carrying amount of hedged fixed-rate debt was $2.0 billion, which was classified on the balance sheet within long-term debt obligations.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(g)Based on recently reported market transactions of spot and/or forward rates.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(h)Primarily based on recently reported market transactions of swap arrangements.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(i)Derivative assets and liabilities are presented on a gross basis on our balance sheet. Amounts subject to enforceable master netting arrangements or similar agreements which are not offset on our balance sheet as of June 13, 2026 and December 27, 2025 were not material. Collateral received or posted against our asset or liability positions was not material. Exchange-traded commodity futures are cash-settled on a daily basis and, therefore, not included in the table.</w:t>
      </w:r>
    </w:p>
    <w:p>
      <w:pPr>
        <w:pStyle w:val="TextBody"/>
        <w:bidi w:val="0"/>
        <w:spacing w:lineRule="auto" w:line="288" w:before="120" w:after="120"/>
        <w:jc w:val="both"/>
        <w:rPr/>
      </w:pPr>
      <w:r>
        <w:rPr>
          <w:rFonts w:ascii="Times New Roman;serif" w:hAnsi="Times New Roman;serif"/>
          <w:b w:val="false"/>
          <w:color w:val="000000"/>
          <w:sz w:val="24"/>
        </w:rPr>
        <w:t>The carrying amounts of our cash and cash equivalents and short-term investments recorded at amortized cost approximate fair value (classified as Level 2 in the fair value hierarchy) due to their short-term maturity. The fair value of our debt obligations as of June 13, 2026</w:t>
      </w:r>
      <w:r>
        <w:rPr>
          <w:color w:val="000000"/>
        </w:rPr>
        <w:t xml:space="preserve"> </w:t>
      </w:r>
      <w:r>
        <w:rPr>
          <w:rFonts w:ascii="Times New Roman;serif" w:hAnsi="Times New Roman;serif"/>
          <w:b w:val="false"/>
          <w:color w:val="000000"/>
          <w:sz w:val="24"/>
        </w:rPr>
        <w:t>and December 27, 2025 was $49 billion and $46 billion, respectively, based upon prices of identical or similar instruments in the marketplace, which are considered Level 2 inputs.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on our fair value hedges recognized in the income statement are as follows:</w:t>
      </w:r>
    </w:p>
    <w:tbl>
      <w:tblPr>
        <w:tblW w:w="7791" w:type="dxa"/>
        <w:jc w:val="left"/>
        <w:tblInd w:w="0" w:type="dxa"/>
        <w:tblLayout w:type="fixed"/>
        <w:tblCellMar>
          <w:top w:w="28" w:type="dxa"/>
          <w:left w:w="28" w:type="dxa"/>
          <w:bottom w:w="28" w:type="dxa"/>
          <w:right w:w="28" w:type="dxa"/>
        </w:tblCellMar>
      </w:tblPr>
      <w:tblGrid>
        <w:gridCol w:w="902"/>
        <w:gridCol w:w="791"/>
        <w:gridCol w:w="797"/>
        <w:gridCol w:w="109"/>
        <w:gridCol w:w="109"/>
        <w:gridCol w:w="109"/>
        <w:gridCol w:w="109"/>
        <w:gridCol w:w="291"/>
        <w:gridCol w:w="519"/>
        <w:gridCol w:w="150"/>
        <w:gridCol w:w="109"/>
        <w:gridCol w:w="109"/>
        <w:gridCol w:w="109"/>
        <w:gridCol w:w="311"/>
        <w:gridCol w:w="488"/>
        <w:gridCol w:w="160"/>
        <w:gridCol w:w="109"/>
        <w:gridCol w:w="109"/>
        <w:gridCol w:w="109"/>
        <w:gridCol w:w="291"/>
        <w:gridCol w:w="519"/>
        <w:gridCol w:w="150"/>
        <w:gridCol w:w="109"/>
        <w:gridCol w:w="109"/>
        <w:gridCol w:w="109"/>
        <w:gridCol w:w="265"/>
        <w:gridCol w:w="547"/>
        <w:gridCol w:w="193"/>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332"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905" w:type="dxa"/>
            <w:gridSpan w:val="18"/>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contracts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(a)Interest rate derivative losses/(gains) are included in net interest expense and other. These losses/(gains) are substantially offset by decreases/increases in the value of the underlying debt, which are also included in net interest expense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on our cash flow hedges are categorized as follows:</w:t>
      </w:r>
    </w:p>
    <w:tbl>
      <w:tblPr>
        <w:tblW w:w="7374" w:type="dxa"/>
        <w:jc w:val="left"/>
        <w:tblInd w:w="0" w:type="dxa"/>
        <w:tblLayout w:type="fixed"/>
        <w:tblCellMar>
          <w:top w:w="28" w:type="dxa"/>
          <w:left w:w="28" w:type="dxa"/>
          <w:bottom w:w="28" w:type="dxa"/>
          <w:right w:w="28" w:type="dxa"/>
        </w:tblCellMar>
      </w:tblPr>
      <w:tblGrid>
        <w:gridCol w:w="874"/>
        <w:gridCol w:w="769"/>
        <w:gridCol w:w="772"/>
        <w:gridCol w:w="280"/>
        <w:gridCol w:w="535"/>
        <w:gridCol w:w="145"/>
        <w:gridCol w:w="118"/>
        <w:gridCol w:w="118"/>
        <w:gridCol w:w="118"/>
        <w:gridCol w:w="279"/>
        <w:gridCol w:w="535"/>
        <w:gridCol w:w="146"/>
        <w:gridCol w:w="109"/>
        <w:gridCol w:w="109"/>
        <w:gridCol w:w="109"/>
        <w:gridCol w:w="279"/>
        <w:gridCol w:w="537"/>
        <w:gridCol w:w="144"/>
        <w:gridCol w:w="131"/>
        <w:gridCol w:w="131"/>
        <w:gridCol w:w="131"/>
        <w:gridCol w:w="273"/>
        <w:gridCol w:w="526"/>
        <w:gridCol w:w="206"/>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Reclassified from</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p>
            <w:pPr>
              <w:pStyle w:val="TableContents"/>
              <w:bidi w:val="0"/>
              <w:spacing w:lineRule="auto" w:line="240" w:before="0" w:after="0"/>
              <w:jc w:val="center"/>
              <w:rPr/>
            </w:pPr>
            <w:r>
              <w:rPr>
                <w:rFonts w:ascii="Times New Roman;serif" w:hAnsi="Times New Roman;serif"/>
                <w:b/>
                <w:color w:val="000000"/>
                <w:sz w:val="20"/>
              </w:rPr>
              <w:t>into Income Statement</w:t>
            </w:r>
            <w:r>
              <w:rPr>
                <w:rFonts w:ascii="Times New Roman;serif" w:hAnsi="Times New Roman;serif"/>
                <w:b/>
                <w:color w:val="000000"/>
                <w:sz w:val="13"/>
              </w:rPr>
              <w:t>(a)</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color w:val="000000"/>
              </w:rPr>
              <w:t xml:space="preserve">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9" w:type="dxa"/>
        <w:jc w:val="center"/>
        <w:tblInd w:w="0" w:type="dxa"/>
        <w:tblLayout w:type="fixed"/>
        <w:tblCellMar>
          <w:top w:w="28" w:type="dxa"/>
          <w:left w:w="28" w:type="dxa"/>
          <w:bottom w:w="28" w:type="dxa"/>
          <w:right w:w="28" w:type="dxa"/>
        </w:tblCellMar>
      </w:tblPr>
      <w:tblGrid>
        <w:gridCol w:w="874"/>
        <w:gridCol w:w="769"/>
        <w:gridCol w:w="772"/>
        <w:gridCol w:w="109"/>
        <w:gridCol w:w="109"/>
        <w:gridCol w:w="199"/>
        <w:gridCol w:w="199"/>
        <w:gridCol w:w="385"/>
        <w:gridCol w:w="878"/>
        <w:gridCol w:w="200"/>
        <w:gridCol w:w="109"/>
        <w:gridCol w:w="109"/>
        <w:gridCol w:w="109"/>
        <w:gridCol w:w="280"/>
        <w:gridCol w:w="536"/>
        <w:gridCol w:w="144"/>
        <w:gridCol w:w="132"/>
        <w:gridCol w:w="132"/>
        <w:gridCol w:w="132"/>
        <w:gridCol w:w="279"/>
        <w:gridCol w:w="535"/>
        <w:gridCol w:w="146"/>
        <w:gridCol w:w="109"/>
        <w:gridCol w:w="109"/>
        <w:gridCol w:w="109"/>
        <w:gridCol w:w="265"/>
        <w:gridCol w:w="547"/>
        <w:gridCol w:w="19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Reclassified from</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p>
            <w:pPr>
              <w:pStyle w:val="TableContents"/>
              <w:bidi w:val="0"/>
              <w:spacing w:lineRule="auto" w:line="240" w:before="0" w:after="0"/>
              <w:jc w:val="center"/>
              <w:rPr/>
            </w:pPr>
            <w:r>
              <w:rPr>
                <w:rFonts w:ascii="Times New Roman;serif" w:hAnsi="Times New Roman;serif"/>
                <w:b/>
                <w:color w:val="000000"/>
                <w:sz w:val="20"/>
              </w:rPr>
              <w:t>into Income Statement</w:t>
            </w:r>
            <w:r>
              <w:rPr>
                <w:rFonts w:ascii="Times New Roman;serif" w:hAnsi="Times New Roman;serif"/>
                <w:b/>
                <w:color w:val="000000"/>
                <w:sz w:val="13"/>
              </w:rPr>
              <w:t>(a)</w:t>
            </w:r>
          </w:p>
        </w:tc>
        <w:tc>
          <w:tcPr>
            <w:tcW w:w="133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contracts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(a)Foreign exchange derivative losses/(gains) are included in net revenue and cost of sales. Cross-currency interest rate swap derivative losses/(gains) are included in selling, general and administrative expenses. Commodity derivative losses/(gains) are included in either cost of sales or selling, general and administrative expenses, depending on the underlying commodity. See Note 10 for further information.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of June 13, 2026, we expect to reclassify net gains of $215 million related to our cash flow hedges from accumulated other comprehensive loss within common shareholders’ equity into net income during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on our net investment hedges are categorized as follows:</w:t>
      </w:r>
    </w:p>
    <w:tbl>
      <w:tblPr>
        <w:tblW w:w="9493" w:type="dxa"/>
        <w:jc w:val="left"/>
        <w:tblInd w:w="0" w:type="dxa"/>
        <w:tblLayout w:type="fixed"/>
        <w:tblCellMar>
          <w:top w:w="28" w:type="dxa"/>
          <w:left w:w="28" w:type="dxa"/>
          <w:bottom w:w="28" w:type="dxa"/>
          <w:right w:w="28" w:type="dxa"/>
        </w:tblCellMar>
      </w:tblPr>
      <w:tblGrid>
        <w:gridCol w:w="993"/>
        <w:gridCol w:w="874"/>
        <w:gridCol w:w="878"/>
        <w:gridCol w:w="109"/>
        <w:gridCol w:w="109"/>
        <w:gridCol w:w="221"/>
        <w:gridCol w:w="221"/>
        <w:gridCol w:w="429"/>
        <w:gridCol w:w="765"/>
        <w:gridCol w:w="225"/>
        <w:gridCol w:w="109"/>
        <w:gridCol w:w="109"/>
        <w:gridCol w:w="109"/>
        <w:gridCol w:w="346"/>
        <w:gridCol w:w="764"/>
        <w:gridCol w:w="178"/>
        <w:gridCol w:w="178"/>
        <w:gridCol w:w="178"/>
        <w:gridCol w:w="178"/>
        <w:gridCol w:w="346"/>
        <w:gridCol w:w="665"/>
        <w:gridCol w:w="178"/>
        <w:gridCol w:w="109"/>
        <w:gridCol w:w="109"/>
        <w:gridCol w:w="109"/>
        <w:gridCol w:w="275"/>
        <w:gridCol w:w="529"/>
        <w:gridCol w:w="200"/>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pPr>
            <w:r>
              <w:rPr>
                <w:rFonts w:ascii="Times New Roman;serif" w:hAnsi="Times New Roman;serif"/>
                <w:b/>
                <w:color w:val="000000"/>
                <w:sz w:val="20"/>
              </w:rPr>
              <w:t>Recognized in Income Statement</w:t>
            </w:r>
            <w:r>
              <w:rPr>
                <w:rFonts w:ascii="Times New Roman;serif" w:hAnsi="Times New Roman;serif"/>
                <w:b/>
                <w:color w:val="000000"/>
                <w:sz w:val="13"/>
              </w:rPr>
              <w:t>(a)</w:t>
            </w:r>
          </w:p>
        </w:tc>
        <w:tc>
          <w:tcPr>
            <w:tcW w:w="1331"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 debt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91" w:type="dxa"/>
        <w:jc w:val="left"/>
        <w:tblInd w:w="0" w:type="dxa"/>
        <w:tblLayout w:type="fixed"/>
        <w:tblCellMar>
          <w:top w:w="28" w:type="dxa"/>
          <w:left w:w="28" w:type="dxa"/>
          <w:bottom w:w="28" w:type="dxa"/>
          <w:right w:w="28" w:type="dxa"/>
        </w:tblCellMar>
      </w:tblPr>
      <w:tblGrid>
        <w:gridCol w:w="993"/>
        <w:gridCol w:w="874"/>
        <w:gridCol w:w="878"/>
        <w:gridCol w:w="109"/>
        <w:gridCol w:w="109"/>
        <w:gridCol w:w="199"/>
        <w:gridCol w:w="199"/>
        <w:gridCol w:w="385"/>
        <w:gridCol w:w="878"/>
        <w:gridCol w:w="200"/>
        <w:gridCol w:w="109"/>
        <w:gridCol w:w="109"/>
        <w:gridCol w:w="109"/>
        <w:gridCol w:w="340"/>
        <w:gridCol w:w="751"/>
        <w:gridCol w:w="175"/>
        <w:gridCol w:w="175"/>
        <w:gridCol w:w="175"/>
        <w:gridCol w:w="175"/>
        <w:gridCol w:w="340"/>
        <w:gridCol w:w="703"/>
        <w:gridCol w:w="175"/>
        <w:gridCol w:w="109"/>
        <w:gridCol w:w="109"/>
        <w:gridCol w:w="109"/>
        <w:gridCol w:w="275"/>
        <w:gridCol w:w="529"/>
        <w:gridCol w:w="200"/>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Recognized in Income Statement</w:t>
            </w:r>
            <w:r>
              <w:rPr>
                <w:rFonts w:ascii="Times New Roman;serif" w:hAnsi="Times New Roman;serif"/>
                <w:b/>
                <w:color w:val="000000"/>
                <w:sz w:val="13"/>
              </w:rPr>
              <w:t>(a)</w:t>
            </w:r>
          </w:p>
        </w:tc>
        <w:tc>
          <w:tcPr>
            <w:tcW w:w="1331"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 debt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(a)Amount excluded from the assessment of effectiveness recognized in earnings associated with cross-currency interest rate swaps and forward contracts.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recognized in the income statement related to our non-designated hedges are categorized as follows:</w:t>
      </w:r>
    </w:p>
    <w:tbl>
      <w:tblPr>
        <w:tblW w:w="10205" w:type="dxa"/>
        <w:jc w:val="left"/>
        <w:tblInd w:w="0" w:type="dxa"/>
        <w:tblLayout w:type="fixed"/>
        <w:tblCellMar>
          <w:top w:w="28" w:type="dxa"/>
          <w:left w:w="28" w:type="dxa"/>
          <w:bottom w:w="28" w:type="dxa"/>
          <w:right w:w="28" w:type="dxa"/>
        </w:tblCellMar>
      </w:tblPr>
      <w:tblGrid>
        <w:gridCol w:w="618"/>
        <w:gridCol w:w="422"/>
        <w:gridCol w:w="424"/>
        <w:gridCol w:w="246"/>
        <w:gridCol w:w="474"/>
        <w:gridCol w:w="127"/>
        <w:gridCol w:w="109"/>
        <w:gridCol w:w="109"/>
        <w:gridCol w:w="109"/>
        <w:gridCol w:w="631"/>
        <w:gridCol w:w="1125"/>
        <w:gridCol w:w="328"/>
        <w:gridCol w:w="109"/>
        <w:gridCol w:w="109"/>
        <w:gridCol w:w="109"/>
        <w:gridCol w:w="211"/>
        <w:gridCol w:w="393"/>
        <w:gridCol w:w="109"/>
        <w:gridCol w:w="109"/>
        <w:gridCol w:w="109"/>
        <w:gridCol w:w="109"/>
        <w:gridCol w:w="270"/>
        <w:gridCol w:w="327"/>
        <w:gridCol w:w="139"/>
        <w:gridCol w:w="109"/>
        <w:gridCol w:w="109"/>
        <w:gridCol w:w="109"/>
        <w:gridCol w:w="617"/>
        <w:gridCol w:w="1056"/>
        <w:gridCol w:w="320"/>
        <w:gridCol w:w="109"/>
        <w:gridCol w:w="109"/>
        <w:gridCol w:w="109"/>
        <w:gridCol w:w="211"/>
        <w:gridCol w:w="361"/>
        <w:gridCol w:w="161"/>
      </w:tblGrid>
      <w:tr>
        <w:trPr/>
        <w:tc>
          <w:tcPr>
            <w:tcW w:w="6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
        <w:gridCol w:w="415"/>
        <w:gridCol w:w="417"/>
        <w:gridCol w:w="240"/>
        <w:gridCol w:w="475"/>
        <w:gridCol w:w="124"/>
        <w:gridCol w:w="109"/>
        <w:gridCol w:w="109"/>
        <w:gridCol w:w="109"/>
        <w:gridCol w:w="537"/>
        <w:gridCol w:w="1228"/>
        <w:gridCol w:w="280"/>
        <w:gridCol w:w="109"/>
        <w:gridCol w:w="109"/>
        <w:gridCol w:w="109"/>
        <w:gridCol w:w="211"/>
        <w:gridCol w:w="497"/>
        <w:gridCol w:w="109"/>
        <w:gridCol w:w="109"/>
        <w:gridCol w:w="109"/>
        <w:gridCol w:w="109"/>
        <w:gridCol w:w="253"/>
        <w:gridCol w:w="354"/>
        <w:gridCol w:w="130"/>
        <w:gridCol w:w="109"/>
        <w:gridCol w:w="109"/>
        <w:gridCol w:w="109"/>
        <w:gridCol w:w="604"/>
        <w:gridCol w:w="1035"/>
        <w:gridCol w:w="313"/>
        <w:gridCol w:w="109"/>
        <w:gridCol w:w="109"/>
        <w:gridCol w:w="109"/>
        <w:gridCol w:w="211"/>
        <w:gridCol w:w="361"/>
        <w:gridCol w:w="164"/>
      </w:tblGrid>
      <w:tr>
        <w:trPr/>
        <w:tc>
          <w:tcPr>
            <w:tcW w:w="6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7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9 - Net Income Attributable to PepsiCo per Common Share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computations of basic and diluted net income attributable to PepsiCo per common share are as follows:</w:t>
      </w:r>
    </w:p>
    <w:tbl>
      <w:tblPr>
        <w:tblW w:w="9853" w:type="dxa"/>
        <w:jc w:val="left"/>
        <w:tblInd w:w="0" w:type="dxa"/>
        <w:tblLayout w:type="fixed"/>
        <w:tblCellMar>
          <w:top w:w="28" w:type="dxa"/>
          <w:left w:w="28" w:type="dxa"/>
          <w:bottom w:w="28" w:type="dxa"/>
          <w:right w:w="28" w:type="dxa"/>
        </w:tblCellMar>
      </w:tblPr>
      <w:tblGrid>
        <w:gridCol w:w="1853"/>
        <w:gridCol w:w="1628"/>
        <w:gridCol w:w="1634"/>
        <w:gridCol w:w="211"/>
        <w:gridCol w:w="631"/>
        <w:gridCol w:w="109"/>
        <w:gridCol w:w="109"/>
        <w:gridCol w:w="109"/>
        <w:gridCol w:w="109"/>
        <w:gridCol w:w="315"/>
        <w:gridCol w:w="316"/>
        <w:gridCol w:w="281"/>
        <w:gridCol w:w="109"/>
        <w:gridCol w:w="109"/>
        <w:gridCol w:w="109"/>
        <w:gridCol w:w="211"/>
        <w:gridCol w:w="616"/>
        <w:gridCol w:w="109"/>
        <w:gridCol w:w="109"/>
        <w:gridCol w:w="109"/>
        <w:gridCol w:w="109"/>
        <w:gridCol w:w="308"/>
        <w:gridCol w:w="308"/>
        <w:gridCol w:w="342"/>
      </w:tblGrid>
      <w:tr>
        <w:trPr/>
        <w:tc>
          <w:tcPr>
            <w:tcW w:w="18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Shares</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Shares</w:t>
            </w:r>
            <w:r>
              <w:rPr>
                <w:rFonts w:ascii="Times New Roman;serif" w:hAnsi="Times New Roman;serif"/>
                <w:b w:val="false"/>
                <w:color w:val="000000"/>
                <w:sz w:val="13"/>
              </w:rPr>
              <w:t>(a)</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PepsiCo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available for PepsiCo common shareholders</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2,981</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options, RSUs, PSUs and other </w:t>
            </w:r>
            <w:r>
              <w:rPr>
                <w:rFonts w:ascii="Times New Roman;serif" w:hAnsi="Times New Roman;serif"/>
                <w:b w:val="false"/>
                <w:color w:val="000000"/>
                <w:sz w:val="13"/>
              </w:rPr>
              <w:t>(b)</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PepsiCo per common share</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53" w:type="dxa"/>
        <w:jc w:val="center"/>
        <w:tblInd w:w="0" w:type="dxa"/>
        <w:tblLayout w:type="fixed"/>
        <w:tblCellMar>
          <w:top w:w="28" w:type="dxa"/>
          <w:left w:w="28" w:type="dxa"/>
          <w:bottom w:w="28" w:type="dxa"/>
          <w:right w:w="28" w:type="dxa"/>
        </w:tblCellMar>
      </w:tblPr>
      <w:tblGrid>
        <w:gridCol w:w="1853"/>
        <w:gridCol w:w="1628"/>
        <w:gridCol w:w="1634"/>
        <w:gridCol w:w="211"/>
        <w:gridCol w:w="631"/>
        <w:gridCol w:w="109"/>
        <w:gridCol w:w="109"/>
        <w:gridCol w:w="109"/>
        <w:gridCol w:w="109"/>
        <w:gridCol w:w="315"/>
        <w:gridCol w:w="316"/>
        <w:gridCol w:w="281"/>
        <w:gridCol w:w="109"/>
        <w:gridCol w:w="109"/>
        <w:gridCol w:w="109"/>
        <w:gridCol w:w="211"/>
        <w:gridCol w:w="616"/>
        <w:gridCol w:w="109"/>
        <w:gridCol w:w="109"/>
        <w:gridCol w:w="109"/>
        <w:gridCol w:w="109"/>
        <w:gridCol w:w="308"/>
        <w:gridCol w:w="308"/>
        <w:gridCol w:w="342"/>
      </w:tblGrid>
      <w:tr>
        <w:trPr/>
        <w:tc>
          <w:tcPr>
            <w:tcW w:w="18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Shares</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Shares</w:t>
            </w:r>
            <w:r>
              <w:rPr>
                <w:rFonts w:ascii="Times New Roman;serif" w:hAnsi="Times New Roman;serif"/>
                <w:b w:val="false"/>
                <w:color w:val="000000"/>
                <w:sz w:val="13"/>
              </w:rPr>
              <w:t>(a)</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PepsiCo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available for PepsiCo common shareholders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1,367</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options, RSUs, PSUs and other </w:t>
            </w:r>
            <w:r>
              <w:rPr>
                <w:rFonts w:ascii="Times New Roman;serif" w:hAnsi="Times New Roman;serif"/>
                <w:b w:val="false"/>
                <w:color w:val="000000"/>
                <w:sz w:val="13"/>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1,370</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PepsiCo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(a)Weighted-average common shares outstanding (in millions).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dilutive effect of these securities is calculated using the treasury stock method.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weighted-average amount of antidilutive securities excluded from the calculation of diluted earnings per common share was 9 million for both the 12 weeks ended June 13, 2026 and June 14, 2025, and 8 million for both the 24 weeks ended June 13, 2026 and June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10 - Accumulated Other Comprehensive Loss Attributable to PepsiCo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changes in the balances of each component of accumulated other comprehensive loss attributable to PepsiCo are as follows:</w:t>
      </w:r>
    </w:p>
    <w:tbl>
      <w:tblPr>
        <w:tblW w:w="10205" w:type="dxa"/>
        <w:jc w:val="center"/>
        <w:tblInd w:w="0" w:type="dxa"/>
        <w:tblLayout w:type="fixed"/>
        <w:tblCellMar>
          <w:top w:w="28" w:type="dxa"/>
          <w:left w:w="28" w:type="dxa"/>
          <w:bottom w:w="28" w:type="dxa"/>
          <w:right w:w="28" w:type="dxa"/>
        </w:tblCellMar>
      </w:tblPr>
      <w:tblGrid>
        <w:gridCol w:w="810"/>
        <w:gridCol w:w="455"/>
        <w:gridCol w:w="456"/>
        <w:gridCol w:w="260"/>
        <w:gridCol w:w="883"/>
        <w:gridCol w:w="146"/>
        <w:gridCol w:w="109"/>
        <w:gridCol w:w="109"/>
        <w:gridCol w:w="109"/>
        <w:gridCol w:w="226"/>
        <w:gridCol w:w="504"/>
        <w:gridCol w:w="126"/>
        <w:gridCol w:w="109"/>
        <w:gridCol w:w="109"/>
        <w:gridCol w:w="109"/>
        <w:gridCol w:w="237"/>
        <w:gridCol w:w="713"/>
        <w:gridCol w:w="132"/>
        <w:gridCol w:w="109"/>
        <w:gridCol w:w="109"/>
        <w:gridCol w:w="109"/>
        <w:gridCol w:w="109"/>
        <w:gridCol w:w="109"/>
        <w:gridCol w:w="478"/>
        <w:gridCol w:w="1063"/>
        <w:gridCol w:w="266"/>
        <w:gridCol w:w="109"/>
        <w:gridCol w:w="109"/>
        <w:gridCol w:w="109"/>
        <w:gridCol w:w="370"/>
        <w:gridCol w:w="1252"/>
        <w:gridCol w:w="302"/>
      </w:tblGrid>
      <w:tr>
        <w:trPr/>
        <w:tc>
          <w:tcPr>
            <w:tcW w:w="81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 Retiree Medical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Available-for-Sale Debt Securities and Other</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Attributable to PepsiCo</w:t>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December 27, 2025 </w:t>
            </w:r>
            <w:r>
              <w:rPr>
                <w:rFonts w:ascii="Times New Roman;serif" w:hAnsi="Times New Roman;serif"/>
                <w:b w:val="false"/>
                <w:color w:val="000000"/>
                <w:sz w:val="12"/>
              </w:rPr>
              <w:t>(b)</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comprehensive income/(loss) before</w:t>
            </w:r>
          </w:p>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reclassifications </w:t>
            </w:r>
            <w:r>
              <w:rPr>
                <w:rFonts w:ascii="Times New Roman;serif" w:hAnsi="Times New Roman;serif"/>
                <w:b w:val="false"/>
                <w:color w:val="000000"/>
                <w:sz w:val="12"/>
              </w:rPr>
              <w:t>(c)</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income/(loss)</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March 21, 2026 </w:t>
            </w:r>
            <w:r>
              <w:rPr>
                <w:rFonts w:ascii="Times New Roman;serif" w:hAnsi="Times New Roman;serif"/>
                <w:b w:val="false"/>
                <w:color w:val="000000"/>
                <w:sz w:val="12"/>
              </w:rPr>
              <w:t>(b)</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(14,342)</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(d)</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Amounts reclassified from accumulated other comprehensive loss</w:t>
            </w:r>
            <w:r>
              <w:rPr>
                <w:color w:val="000000"/>
              </w:rPr>
              <w:t xml:space="preserve"> </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income/(loss)</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June 13, 2026 </w:t>
            </w:r>
            <w:r>
              <w:rPr>
                <w:rFonts w:ascii="Times New Roman;serif" w:hAnsi="Times New Roman;serif"/>
                <w:b w:val="false"/>
                <w:color w:val="000000"/>
                <w:sz w:val="12"/>
              </w:rPr>
              <w:t>(b)</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(12,620)</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(2,235)</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(14,343)</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movements primarily represent fair value changes in available-for-sale debt securities, including our investment in Celsius convertible preferred stock. See Note 8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(b)Pension and retiree medical amounts are net of taxes of $1,138 million as of December 27, 2025, $1,135 million as of March 21, 2026 and $1,130 million as of June 13,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(c)Currency translation adjustment primarily reflects appreciation of the euro, Mexican peso and Russian ruble.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(d)Currency translation adjustment primarily reflects appreciation of the Russian ruble.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59"/>
        <w:gridCol w:w="513"/>
        <w:gridCol w:w="515"/>
        <w:gridCol w:w="250"/>
        <w:gridCol w:w="872"/>
        <w:gridCol w:w="139"/>
        <w:gridCol w:w="109"/>
        <w:gridCol w:w="109"/>
        <w:gridCol w:w="109"/>
        <w:gridCol w:w="248"/>
        <w:gridCol w:w="420"/>
        <w:gridCol w:w="138"/>
        <w:gridCol w:w="109"/>
        <w:gridCol w:w="109"/>
        <w:gridCol w:w="109"/>
        <w:gridCol w:w="245"/>
        <w:gridCol w:w="740"/>
        <w:gridCol w:w="136"/>
        <w:gridCol w:w="109"/>
        <w:gridCol w:w="109"/>
        <w:gridCol w:w="109"/>
        <w:gridCol w:w="109"/>
        <w:gridCol w:w="109"/>
        <w:gridCol w:w="486"/>
        <w:gridCol w:w="1048"/>
        <w:gridCol w:w="272"/>
        <w:gridCol w:w="109"/>
        <w:gridCol w:w="109"/>
        <w:gridCol w:w="109"/>
        <w:gridCol w:w="346"/>
        <w:gridCol w:w="1170"/>
        <w:gridCol w:w="282"/>
      </w:tblGrid>
      <w:tr>
        <w:trPr/>
        <w:tc>
          <w:tcPr>
            <w:tcW w:w="85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Pension and Retiree Medical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Available-for-Sale Debt Securities and Other</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Loss Attributable</w:t>
              <w:br/>
              <w:t>to PepsiCo</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December 28, 2024 </w:t>
            </w:r>
            <w:r>
              <w:rPr>
                <w:rFonts w:ascii="Times New Roman;serif" w:hAnsi="Times New Roman;serif"/>
                <w:b w:val="false"/>
                <w:color w:val="000000"/>
                <w:sz w:val="12"/>
              </w:rPr>
              <w:t>(b)</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(c)</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March 22, 2025 </w:t>
            </w:r>
            <w:r>
              <w:rPr>
                <w:rFonts w:ascii="Times New Roman;serif" w:hAnsi="Times New Roman;serif"/>
                <w:b w:val="false"/>
                <w:color w:val="000000"/>
                <w:sz w:val="12"/>
              </w:rPr>
              <w:t>(b)</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(17,078)</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(d)</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income/(loss)</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June 14, 2025 </w:t>
            </w:r>
            <w:r>
              <w:rPr>
                <w:rFonts w:ascii="Times New Roman;serif" w:hAnsi="Times New Roman;serif"/>
                <w:b w:val="false"/>
                <w:color w:val="000000"/>
                <w:sz w:val="12"/>
              </w:rPr>
              <w:t>(b)</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(16,090)</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(a)The movements primarily represent fair value changes in available-for-sale debt securities, including our investment in Celsius convertible preferred stock. See Note 8 for further information.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(b)Pension and retiree medical amounts are net of taxes of $1,282 million as of December 28, 2024, $1,279 million as of March 22, 2025 and $1,284 million as of June 14,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(c)Currency translation adjustment primarily reflects appreciation of the Russian ruble and depreciation of the euro.</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(d)Currency translation adjustment primarily reflects appreciation of the Russian ruble, Mexican peso and Canadian dollar.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reclassifications from accumulated other comprehensive loss to the income statement are summarized as follows:</w:t>
      </w:r>
    </w:p>
    <w:tbl>
      <w:tblPr>
        <w:tblW w:w="10205" w:type="dxa"/>
        <w:jc w:val="center"/>
        <w:tblInd w:w="0" w:type="dxa"/>
        <w:tblLayout w:type="fixed"/>
        <w:tblCellMar>
          <w:top w:w="28" w:type="dxa"/>
          <w:left w:w="28" w:type="dxa"/>
          <w:bottom w:w="28" w:type="dxa"/>
          <w:right w:w="28" w:type="dxa"/>
        </w:tblCellMar>
      </w:tblPr>
      <w:tblGrid>
        <w:gridCol w:w="1111"/>
        <w:gridCol w:w="725"/>
        <w:gridCol w:w="705"/>
        <w:gridCol w:w="109"/>
        <w:gridCol w:w="109"/>
        <w:gridCol w:w="109"/>
        <w:gridCol w:w="238"/>
        <w:gridCol w:w="476"/>
        <w:gridCol w:w="122"/>
        <w:gridCol w:w="109"/>
        <w:gridCol w:w="109"/>
        <w:gridCol w:w="109"/>
        <w:gridCol w:w="238"/>
        <w:gridCol w:w="461"/>
        <w:gridCol w:w="122"/>
        <w:gridCol w:w="109"/>
        <w:gridCol w:w="109"/>
        <w:gridCol w:w="109"/>
        <w:gridCol w:w="238"/>
        <w:gridCol w:w="476"/>
        <w:gridCol w:w="122"/>
        <w:gridCol w:w="109"/>
        <w:gridCol w:w="109"/>
        <w:gridCol w:w="109"/>
        <w:gridCol w:w="238"/>
        <w:gridCol w:w="461"/>
        <w:gridCol w:w="122"/>
        <w:gridCol w:w="109"/>
        <w:gridCol w:w="109"/>
        <w:gridCol w:w="109"/>
        <w:gridCol w:w="913"/>
        <w:gridCol w:w="741"/>
        <w:gridCol w:w="1061"/>
      </w:tblGrid>
      <w:tr>
        <w:trPr/>
        <w:tc>
          <w:tcPr>
            <w:tcW w:w="111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Affected Line Item in the Income Statement</w:t>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Pension and retiree medical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prior service cost/(credits)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Settlement/curtailment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gains reclassified,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Note 11 -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2025 Acquisitions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On January 17, 2025, we acquired all of the outstanding equity interest in Garza Food Ventures LLC (Siete), a Mexican-American foods business, for total consideration of $1.2 billion in cash.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On May 19, 2025, we acquired all of the outstanding equity interest in poppi, a prebiotic soda business, for cash consideration of $1.9 billion and contingent consideration with an acquisition date fair value of $0.2 billion. See Note 8 for further information on the contingent consideration. In connection with this acquisition, other payments may be incurred, subject to the achievement of certain conditions.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accounted for the 2025 acquisitions as business combinations. We recognized and measured the identifiable assets acquired and liabilities assumed at their estimated fair values on the respective dates of acquisition. </w:t>
      </w:r>
      <w:bookmarkStart w:id="10" w:name="i34d4714bb6f8416d8b93fac6c4779bbd_2321"/>
      <w:bookmarkEnd w:id="10"/>
      <w:r>
        <w:rPr>
          <w:rFonts w:ascii="Times New Roman;serif" w:hAnsi="Times New Roman;serif"/>
          <w:b w:val="false"/>
          <w:color w:val="000000"/>
          <w:sz w:val="24"/>
        </w:rPr>
        <w:t>The purchase price allocations for Siete and poppi were finalized in the first and second quarter of 2026, respectively.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fair value of identifiable assets acquired and liabilities assumed in the acquisitions of Siete and poppi and the resulting goodwill as of the respective acquisition dates is summarized as follows:</w:t>
      </w:r>
    </w:p>
    <w:tbl>
      <w:tblPr>
        <w:tblW w:w="6629" w:type="dxa"/>
        <w:jc w:val="left"/>
        <w:tblInd w:w="0" w:type="dxa"/>
        <w:tblLayout w:type="fixed"/>
        <w:tblCellMar>
          <w:top w:w="28" w:type="dxa"/>
          <w:left w:w="28" w:type="dxa"/>
          <w:bottom w:w="28" w:type="dxa"/>
          <w:right w:w="28" w:type="dxa"/>
        </w:tblCellMar>
      </w:tblPr>
      <w:tblGrid>
        <w:gridCol w:w="1390"/>
        <w:gridCol w:w="1222"/>
        <w:gridCol w:w="1228"/>
        <w:gridCol w:w="333"/>
        <w:gridCol w:w="995"/>
        <w:gridCol w:w="172"/>
        <w:gridCol w:w="273"/>
        <w:gridCol w:w="817"/>
        <w:gridCol w:w="199"/>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Siete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poppi</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date</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17, 2025</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19, 2025</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PFNA</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PBNA</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 asset (brand)</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2,120</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Goodwill is calculated as the excess of the aggregate fair value of the consideration transferred over the fair value of the net assets recognized. The goodwill recorded as part of the acquisitions of Siete and poppi primarily reflects our expectation of future economic benefits arising from growth opportunities, expanded consumer reach and the strengthening of our overall product offerings across our food and beverage businesses. All of the goodwill associated with our acquisitions of Siete and poppi is recorded in our PFNA and PBNA segments, respectively, and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Acquisition and Divestiture-Related Charges/Credits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Acquisition and divestiture-related charges/credits include merger and integration charges, transaction expenses, such as consulting, advisory and other professional fees, as well as fair value adjustments to contingent consideration. Merger and integration charges include distribution agreement termination fees, employee-related costs, closing costs and other integration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charges/credits is as follows:</w:t>
      </w:r>
    </w:p>
    <w:tbl>
      <w:tblPr>
        <w:tblW w:w="10205" w:type="dxa"/>
        <w:jc w:val="center"/>
        <w:tblInd w:w="0" w:type="dxa"/>
        <w:tblLayout w:type="fixed"/>
        <w:tblCellMar>
          <w:top w:w="28" w:type="dxa"/>
          <w:left w:w="28" w:type="dxa"/>
          <w:bottom w:w="28" w:type="dxa"/>
          <w:right w:w="28" w:type="dxa"/>
        </w:tblCellMar>
      </w:tblPr>
      <w:tblGrid>
        <w:gridCol w:w="1853"/>
        <w:gridCol w:w="1622"/>
        <w:gridCol w:w="1666"/>
        <w:gridCol w:w="237"/>
        <w:gridCol w:w="594"/>
        <w:gridCol w:w="122"/>
        <w:gridCol w:w="109"/>
        <w:gridCol w:w="109"/>
        <w:gridCol w:w="109"/>
        <w:gridCol w:w="222"/>
        <w:gridCol w:w="617"/>
        <w:gridCol w:w="114"/>
        <w:gridCol w:w="109"/>
        <w:gridCol w:w="109"/>
        <w:gridCol w:w="109"/>
        <w:gridCol w:w="234"/>
        <w:gridCol w:w="599"/>
        <w:gridCol w:w="120"/>
        <w:gridCol w:w="109"/>
        <w:gridCol w:w="109"/>
        <w:gridCol w:w="109"/>
        <w:gridCol w:w="222"/>
        <w:gridCol w:w="617"/>
        <w:gridCol w:w="114"/>
        <w:gridCol w:w="109"/>
        <w:gridCol w:w="162"/>
      </w:tblGrid>
      <w:tr>
        <w:trPr/>
        <w:tc>
          <w:tcPr>
            <w:tcW w:w="185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bookmarkStart w:id="11" w:name="i9bd164156a9441fa9b8808b1310e9b2e_3-0-1-"/>
            <w:bookmarkEnd w:id="11"/>
            <w:r>
              <w:rPr>
                <w:rFonts w:ascii="Times New Roman;serif" w:hAnsi="Times New Roman;serif"/>
                <w:b w:val="false"/>
                <w:color w:val="000000"/>
                <w:sz w:val="20"/>
              </w:rPr>
              <w:t xml:space="preserve">PBNA </w:t>
            </w:r>
            <w:r>
              <w:rPr>
                <w:rFonts w:ascii="Times New Roman;serif" w:hAnsi="Times New Roman;serif"/>
                <w:b w:val="false"/>
                <w:color w:val="000000"/>
                <w:sz w:val="13"/>
              </w:rPr>
              <w:t>(a)</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(b)</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amount</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net income attributable to PepsiCo per common share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(a)Income amounts primarily relate to the change in the fair value of contingent consideration associated with our acquisition of poppi. See Note 8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(b)Recorded in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Note 12 - Supply Chain Financing Arrangements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maintain voluntary supply chain finance agreements with several participating global financial institutions. Under these agreements, our suppliers, at their sole discretion, may elect to sell their accounts receivable with PepsiCo to these participating global financial institutions. As of June 13, 2026 and December 27, 2025, $1.8 billion and $1.7 billion, respectively, of our accounts payable are to suppliers participating in these financing arrangements. For further information on the key terms of these supply chain financing programs, see Note 14 to our consolidated financial statements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Note 13 - Legal Contingencies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Company is party to a variety of litigation, claims, legal or regulatory proceedings, inquiries and investigations. While the results of such litigation, claims, legal or regulatory proceedings, inquiries and investigations cannot be predicted with certainty, management believes that the final outcome of the foregoing is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FINANCIAL REVIEW</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Our discussion and analysis is intended to help the reader understand our results of operations and financial condition and is provided as an addition to, and should be read in connection with, our condensed consolidated financial statements and the accompanying notes. Unless otherwise noted, tabular dollars are presented in millions, except per share amounts. All per share amounts reflect common stock per share amounts, assume dilution unless otherwise noted, and are based on unrounded amounts. Percentage changes are based on unrounded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Our Critical Accounting Policies and Estimates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critical accounting policies and estimates below should be read in conjunction with those outlined in our 2025 Form 10-K.</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Total Marketplace Spending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 number of our sales incentives, such as bottler funding to independent bottlers and customer volume rebates, are based on annual targets, and accruals are established during the year, as products are delivered, for the expected payout, which may occur after year end once reconciled and settled.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interim reporting, our policy is to allocate our forecasted full-year sales incentives for most of our programs to each of our interim reporting periods in the same year that benefits from the programs. The allocation methodology is based on our forecasted sales incentives for the full year and the proportion of each interim period’s actual gross revenue or volume, as applicable, to our forecasted annual gross revenue or volume, as applicable. Based on our review of the forecasts at each interim period, any changes in estimates and the related allocation of sales incentives are recognized beginning in the interim period that they are identified. In addition, we apply a similar allocation methodology for interim reporting purposes for certain advertising and other marketing activities.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Income Taxes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determining our quarterly provision for income taxes, we use an estimated annual effective tax rate which is based on our expected annual income, statutory tax rates and tax structure and transactions, including transfer pricing arrangements, available to us in the various jurisdictions in which we operate. Significant judgment is required in determining our annual tax rate and in evaluating our tax positions. Subsequent recognition, derecognition and measurement of a tax position taken in a previous period are separately recognized in the quarter in which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Our Business Risks</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Form 10-Q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pPr>
      <w:r>
        <w:rPr>
          <w:rFonts w:ascii="Times New Roman;serif" w:hAnsi="Times New Roman;serif"/>
          <w:b w:val="false"/>
          <w:i/>
          <w:color w:val="000000"/>
          <w:sz w:val="24"/>
        </w:rPr>
        <w:t xml:space="preserve">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Such risks and uncertainties include, but are not limited to: future demand for PepsiCo’s products; damage to PepsiCo’s reputation or brand image; product recalls or other issues or concerns with respect to product quality and safety; PepsiCo’s ability to compete effectively; PepsiCo’s ability to attract, develop and maintain a highly skilled workforce or effectively manage changes in our workforce; water scarcity; changes in the retail landscape or in sales to any key customer; disruption of PepsiCo’s manufacturing operations or supply chain, including increased commodity, packaging, transportation, labor and other input costs; political, social or geopolitical conditions in the markets where PepsiCo’s products are made, manufactured, distributed or sold; PepsiCo’s ability to grow its business in developing and emerging markets; changes in economic conditions in the countries in which PepsiCo operates; changes in tariffs and global trade relations; future cyber incidents and other disruptions to our information systems; failure to successfully complete or manage strategic transactions; PepsiCo’s reliance on third-party service providers and enterprise-wide systems; climate change or measures to address climate change and other sustainability matters; strikes or work stoppages; failure to realize benefits from PepsiCo’s productivity initiatives or organizational restructurings; deterioration in estimates and underlying assumptions regarding future performance of our business or investments that can result in impairment charges; fluctuations or other changes in exchange rates; any downgrade or potential downgrade of PepsiCo’s credit ratings; imposition or proposed imposition of new or increased taxes aimed at PepsiCo’s products; imposition of limitations on the marketing or sale of PepsiCo’s products; changes in laws and regulations related to the use or disposal of plastics or other packaging materials; failure to comply with personal data protection and privacy laws; increase in income tax rates, changes in income tax laws or disagreements with tax authorities; failure to adequately protect PepsiCo’s intellectual property rights or infringement on intellectual property rights of others; failure to comply with applicable laws and regulations; potential liabilities and costs from litigation, claims, legal or regulatory proceedings, inquiries or investigations; and other risks and uncertainties including those described in “Item 1A. Risk Factors” and “Item 7. Management’s Discussion and Analysis of Financial Condition and Results of Operations – Our Business Risks,” included in our </w:t>
      </w:r>
      <w:r>
        <w:rPr>
          <w:rFonts w:ascii="Times New Roman;serif" w:hAnsi="Times New Roman;serif"/>
          <w:b w:val="false"/>
          <w:color w:val="000000"/>
          <w:sz w:val="24"/>
        </w:rPr>
        <w:t>2025</w:t>
      </w:r>
      <w:r>
        <w:rPr>
          <w:color w:val="000000"/>
        </w:rPr>
        <w:t xml:space="preserve"> </w:t>
      </w:r>
      <w:r>
        <w:rPr>
          <w:rFonts w:ascii="Times New Roman;serif" w:hAnsi="Times New Roman;serif"/>
          <w:b w:val="false"/>
          <w:i/>
          <w:color w:val="000000"/>
          <w:sz w:val="24"/>
        </w:rPr>
        <w:t>Form 10-K and in “Item 2. Management’s Discussion and Analysis of Financial Condition and Results of Operations – Our Business Risks” of this Form 10-Q. Investors are cautioned not to place undue reliance on any such forward-looking statements, which speak only as of the date they are made. We undertake no obligation to update any forward-looking statement, whether as a result of new information, future events or otherwise.</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Risks Associated with Commodities and Our Supply Chain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Many of the commodities used in the production and transportation of our products are purchased in the open market. The prices we pay for such items are subject to fluctuation, and we manage this risk through the use of fixed-price contracts and purchase orders, pricing agreements and derivative instruments, including swaps and futures. A number of external factors, including volatile geopolitical conditions, the inflationary cost environment, import/export restrictions and tariffs, adverse weather conditions and supply chain disruptions, have impacted and may continue to impact commodity, transportation and labor costs. Additionally, conflict in the Middle East continues to disrupt global supply chains and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commodity prices. When prices increase, we may or may not pass on such increases to our customers, which may result in reduced volume, revenue, margins and operating results.</w:t>
      </w:r>
    </w:p>
    <w:p>
      <w:pPr>
        <w:pStyle w:val="TextBody"/>
        <w:bidi w:val="0"/>
        <w:spacing w:lineRule="auto" w:line="288" w:before="120" w:after="120"/>
        <w:jc w:val="both"/>
        <w:rPr/>
      </w:pPr>
      <w:r>
        <w:rPr>
          <w:rFonts w:ascii="Times New Roman;serif" w:hAnsi="Times New Roman;serif"/>
          <w:b w:val="false"/>
          <w:color w:val="000000"/>
          <w:sz w:val="24"/>
        </w:rPr>
        <w:t>See Note</w:t>
      </w:r>
      <w:r>
        <w:rPr>
          <w:color w:val="000000"/>
        </w:rPr>
        <w:t xml:space="preserve"> </w:t>
      </w:r>
      <w:r>
        <w:rPr>
          <w:rFonts w:ascii="Times New Roman;serif" w:hAnsi="Times New Roman;serif"/>
          <w:b w:val="false"/>
          <w:color w:val="000000"/>
          <w:sz w:val="24"/>
        </w:rPr>
        <w:t>8 to our condensed consolidated financial statements in this Form 10-Q and Note 9 to our consolidated financial statements in our 2025 Form 10-K for further information on how we manage our exposure to commodity prices.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Risks Associated with Climate Change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Certain jurisdictions in which our products are made, manufactured, distributed or sold have either imposed, or are considering imposing, new or increased legal and regulatory requirements to reduce or mitigate the potential effects of climate change, including regulation of greenhouse gas emissions and potential carbon pricing programs. These new or increased legal or regulatory requirements, along with initiatives to meet our sustainability goals, could result in significant increased costs and additional investments in facilities and equipment. However, we are unable to predict the scope, nature and timing of any new or increased environmental laws and regulations and therefore cannot predict the ultimate impact of such laws and regulations on our business or financial results. We continue to monitor existing and proposed laws and regulations in the jurisdictions in which our products are made, manufactured, distributed and sold and to consider actions we may take to potentially mitigate the unfavorable impact, if any, of such laws or regulations.</w:t>
      </w:r>
    </w:p>
    <w:p>
      <w:pPr>
        <w:pStyle w:val="TextBody"/>
        <w:bidi w:val="0"/>
        <w:spacing w:lineRule="auto" w:line="288" w:before="120" w:after="120"/>
        <w:jc w:val="both"/>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Risks Associated with International Operations </w:t>
      </w:r>
    </w:p>
    <w:p>
      <w:pPr>
        <w:pStyle w:val="TextBody"/>
        <w:bidi w:val="0"/>
        <w:spacing w:lineRule="auto" w:line="288" w:before="120" w:after="120"/>
        <w:jc w:val="both"/>
        <w:rPr/>
      </w:pPr>
      <w:r>
        <w:rPr>
          <w:rFonts w:ascii="Times New Roman;serif" w:hAnsi="Times New Roman;serif"/>
          <w:b w:val="false"/>
          <w:color w:val="000000"/>
          <w:sz w:val="24"/>
        </w:rPr>
        <w:t>In the 12 weeks ended June 13, 2026, our financial results outside of North America reflect the months of March, April and May. In the 24 weeks ended June 13, 2026, our financial results outside of North America reflect the months of January through May. In the 24 weeks ended June 13, 2026, our operations outside of the United States generated 43% of our consolidated net revenue, with Mexico, Russia, Canada, China, the United Kingdom, Brazil and South Africa, collectively, comprising 25% of our consolidated net revenue. As a result, we are exposed to foreign exchange risks in the international markets in whi</w:t>
      </w:r>
      <w:r>
        <w:rPr>
          <w:rFonts w:ascii="Times New Roman;serif" w:hAnsi="Times New Roman;serif"/>
          <w:b w:val="false"/>
          <w:color w:val="212529"/>
          <w:sz w:val="24"/>
        </w:rPr>
        <w:t xml:space="preserve">ch our products are made, manufactured, distributed or sold. In the </w:t>
      </w:r>
      <w:r>
        <w:rPr>
          <w:rFonts w:ascii="Times New Roman;serif" w:hAnsi="Times New Roman;serif"/>
          <w:b w:val="false"/>
          <w:color w:val="000000"/>
          <w:sz w:val="24"/>
        </w:rPr>
        <w:t>12 weeks ended</w:t>
      </w:r>
      <w:r>
        <w:rPr>
          <w:color w:val="000000"/>
        </w:rPr>
        <w:t xml:space="preserve"> </w:t>
      </w:r>
      <w:r>
        <w:rPr>
          <w:rFonts w:ascii="Times New Roman;serif" w:hAnsi="Times New Roman;serif"/>
          <w:b w:val="false"/>
          <w:color w:val="000000"/>
          <w:sz w:val="24"/>
        </w:rPr>
        <w:t xml:space="preserve">June 13, 2026, favorable foreign exchange </w:t>
      </w:r>
      <w:r>
        <w:rPr>
          <w:rFonts w:ascii="Times New Roman;serif" w:hAnsi="Times New Roman;serif"/>
          <w:b w:val="false"/>
          <w:color w:val="212529"/>
          <w:sz w:val="24"/>
        </w:rPr>
        <w:t>contributed to</w:t>
      </w:r>
      <w:r>
        <w:rPr>
          <w:color w:val="000000"/>
        </w:rPr>
        <w:t xml:space="preserve"> </w:t>
      </w:r>
      <w:r>
        <w:rPr>
          <w:rFonts w:ascii="Times New Roman;serif" w:hAnsi="Times New Roman;serif"/>
          <w:b w:val="false"/>
          <w:color w:val="000000"/>
          <w:sz w:val="24"/>
        </w:rPr>
        <w:t>net revenue performance by 2 percentage points primarily due to an appreciation of the Mexican peso and Russian ruble, partially offset by a decline in the Turkish lira. In the 24 weeks ended June 13, 2026, favorable foreign exchange contributed to net revenue performance by 3 percentage points primarily due to an appreciation of the Mexican peso and Russian ruble. Currency declines against the U.S. dollar which are not offset could adversely impact our future financial results.</w:t>
      </w:r>
    </w:p>
    <w:p>
      <w:pPr>
        <w:pStyle w:val="TextBody"/>
        <w:bidi w:val="0"/>
        <w:spacing w:lineRule="auto" w:line="288" w:before="120" w:after="120"/>
        <w:jc w:val="both"/>
        <w:rPr/>
      </w:pPr>
      <w:r>
        <w:rPr>
          <w:rFonts w:ascii="Times New Roman;serif" w:hAnsi="Times New Roman;serif"/>
          <w:b w:val="false"/>
          <w:color w:val="212529"/>
          <w:sz w:val="24"/>
        </w:rPr>
        <w:t xml:space="preserve">In addition, volatile economic, political, social and geopolitical conditions, civil unrest and wars and other military conflicts, acts of terrorism and natural disasters and other catastrophic events in certain markets in which our products are made, manufactured, distributed or sold, including in Argentina, Brazil, China, Mexico, the Middle East (including Egypt), Russia, Turkey and Ukraine, continue to result in challenging operating environments and have resulted in and could continue to result in changes in how we operate in certain of these markets. Debt and credit issues, currency controls or fluctuations, sanctions and export controls in certain of these international markets (including restrictions on the transfer of funds to and from certain markets) have also continued to impact our operations in certain of these international markets. We continue to closely monitor the economic, operating and political environment in the markets in which we operate, including risks of additional impairments or write-offs and currency fluctuation, and to identify actions to potentially mitigate any </w:t>
      </w:r>
      <w:r>
        <w:rPr>
          <w:rFonts w:ascii="Times New Roman;serif" w:hAnsi="Times New Roman;serif"/>
          <w:b w:val="false"/>
          <w:color w:val="000000"/>
          <w:sz w:val="24"/>
        </w:rPr>
        <w:t>unfavorable</w:t>
      </w:r>
      <w:r>
        <w:rPr>
          <w:color w:val="212529"/>
        </w:rPr>
        <w:t xml:space="preserve"> </w:t>
      </w:r>
      <w:r>
        <w:rPr>
          <w:rFonts w:ascii="Times New Roman;serif" w:hAnsi="Times New Roman;serif"/>
          <w:b w:val="false"/>
          <w:color w:val="212529"/>
          <w:sz w:val="24"/>
        </w:rPr>
        <w:t>impacts on our future results. Our operations in Russia accounted fo</w:t>
      </w:r>
      <w:r>
        <w:rPr>
          <w:rFonts w:ascii="Times New Roman;serif" w:hAnsi="Times New Roman;serif"/>
          <w:b w:val="false"/>
          <w:color w:val="000000"/>
          <w:sz w:val="24"/>
        </w:rPr>
        <w:t>r 6%</w:t>
      </w:r>
      <w:r>
        <w:rPr>
          <w:color w:val="212529"/>
        </w:rPr>
        <w:t xml:space="preserve"> </w:t>
      </w:r>
      <w:r>
        <w:rPr>
          <w:rFonts w:ascii="Times New Roman;serif" w:hAnsi="Times New Roman;serif"/>
          <w:b w:val="false"/>
          <w:color w:val="212529"/>
          <w:sz w:val="24"/>
        </w:rPr>
        <w:t xml:space="preserve">and </w:t>
      </w:r>
      <w:r>
        <w:rPr>
          <w:rFonts w:ascii="Times New Roman;serif" w:hAnsi="Times New Roman;serif"/>
          <w:b w:val="false"/>
          <w:color w:val="000000"/>
          <w:sz w:val="24"/>
        </w:rPr>
        <w:t>5%</w:t>
      </w:r>
      <w:r>
        <w:rPr>
          <w:color w:val="212529"/>
        </w:rPr>
        <w:t xml:space="preserve"> </w:t>
      </w:r>
      <w:r>
        <w:rPr>
          <w:rFonts w:ascii="Times New Roman;serif" w:hAnsi="Times New Roman;serif"/>
          <w:b w:val="false"/>
          <w:color w:val="212529"/>
          <w:sz w:val="24"/>
        </w:rPr>
        <w:t xml:space="preserve">of our consolidated net revenue for the 12 and 24 weeks ended June 13, 2026, respectively. </w:t>
      </w:r>
      <w:bookmarkStart w:id="12" w:name="i085d6f19125a469b8dae9a151c04174b_15672"/>
      <w:bookmarkEnd w:id="12"/>
      <w:r>
        <w:rPr>
          <w:rFonts w:ascii="Times New Roman;serif" w:hAnsi="Times New Roman;serif"/>
          <w:b w:val="false"/>
          <w:color w:val="212529"/>
          <w:sz w:val="24"/>
        </w:rPr>
        <w:t xml:space="preserve">Russia accounted for </w:t>
      </w:r>
      <w:r>
        <w:rPr>
          <w:rFonts w:ascii="Times New Roman;serif" w:hAnsi="Times New Roman;serif"/>
          <w:b w:val="false"/>
          <w:color w:val="000000"/>
          <w:sz w:val="24"/>
        </w:rPr>
        <w:t>6%</w:t>
      </w:r>
      <w:r>
        <w:rPr>
          <w:color w:val="212529"/>
        </w:rPr>
        <w:t xml:space="preserve"> </w:t>
      </w:r>
      <w:r>
        <w:rPr>
          <w:rFonts w:ascii="Times New Roman;serif" w:hAnsi="Times New Roman;serif"/>
          <w:b w:val="false"/>
          <w:color w:val="212529"/>
          <w:sz w:val="24"/>
        </w:rPr>
        <w:t xml:space="preserve">of our consolidated assets, including </w:t>
      </w:r>
      <w:r>
        <w:rPr>
          <w:rFonts w:ascii="Times New Roman;serif" w:hAnsi="Times New Roman;serif"/>
          <w:b w:val="false"/>
          <w:color w:val="000000"/>
          <w:sz w:val="24"/>
        </w:rPr>
        <w:t>21%</w:t>
      </w:r>
      <w:r>
        <w:rPr>
          <w:color w:val="212529"/>
        </w:rPr>
        <w:t xml:space="preserve"> </w:t>
      </w:r>
      <w:r>
        <w:rPr>
          <w:rFonts w:ascii="Times New Roman;serif" w:hAnsi="Times New Roman;serif"/>
          <w:b w:val="false"/>
          <w:color w:val="212529"/>
          <w:sz w:val="24"/>
        </w:rPr>
        <w:t xml:space="preserve">of our consolidated cash and cash equivalents, and </w:t>
      </w:r>
      <w:r>
        <w:rPr>
          <w:rFonts w:ascii="Times New Roman;serif" w:hAnsi="Times New Roman;serif"/>
          <w:b w:val="false"/>
          <w:color w:val="000000"/>
          <w:sz w:val="24"/>
        </w:rPr>
        <w:t>38%</w:t>
      </w:r>
      <w:r>
        <w:rPr>
          <w:color w:val="212529"/>
        </w:rPr>
        <w:t xml:space="preserve"> </w:t>
      </w:r>
      <w:r>
        <w:rPr>
          <w:rFonts w:ascii="Times New Roman;serif" w:hAnsi="Times New Roman;serif"/>
          <w:b w:val="false"/>
          <w:color w:val="212529"/>
          <w:sz w:val="24"/>
        </w:rPr>
        <w:t>of our accumulated currency translation adjustment loss as of June 13,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pPr>
      <w:r>
        <w:rPr>
          <w:rFonts w:ascii="Times New Roman;serif" w:hAnsi="Times New Roman;serif"/>
          <w:b w:val="false"/>
          <w:color w:val="000000"/>
          <w:sz w:val="24"/>
        </w:rPr>
        <w:t>See Note</w:t>
      </w:r>
      <w:r>
        <w:rPr>
          <w:color w:val="000000"/>
        </w:rPr>
        <w:t xml:space="preserve"> </w:t>
      </w:r>
      <w:r>
        <w:rPr>
          <w:rFonts w:ascii="Times New Roman;serif" w:hAnsi="Times New Roman;serif"/>
          <w:b w:val="false"/>
          <w:color w:val="000000"/>
          <w:sz w:val="24"/>
        </w:rPr>
        <w:t xml:space="preserve">8 to our condensed consolidated financial statements in this Form 10-Q for the fair values of our financial instruments as of June 13, 2026 and December 27, 2025 and Note 9 to our consolidated financial statements in our 2025 Form 10-K for a discussion of these items. </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Risks Associated with Tariffs</w:t>
      </w:r>
    </w:p>
    <w:p>
      <w:pPr>
        <w:pStyle w:val="TextBody"/>
        <w:bidi w:val="0"/>
        <w:spacing w:lineRule="auto" w:line="288" w:before="120" w:after="120"/>
        <w:jc w:val="both"/>
        <w:rPr/>
      </w:pPr>
      <w:r>
        <w:rPr>
          <w:rFonts w:ascii="Times New Roman;serif" w:hAnsi="Times New Roman;serif"/>
          <w:b w:val="false"/>
          <w:color w:val="000000"/>
          <w:sz w:val="24"/>
        </w:rPr>
        <w:t xml:space="preserve">The imposition of tariffs (including U.S. tariffs imposed or threatened to be imposed on China, the European Union, Canada and Mexico and other countries and any tariffs imposed by such countries) have impacted and could continue to impact our supply chain resulting in increased input costs, including the cost of certain raw materials and packaging. </w:t>
      </w:r>
      <w:bookmarkStart w:id="13" w:name="i085d6f19125a469b8dae9a151c04174b_17685"/>
      <w:bookmarkEnd w:id="13"/>
      <w:r>
        <w:rPr>
          <w:rFonts w:ascii="Times New Roman;serif" w:hAnsi="Times New Roman;serif"/>
          <w:b w:val="false"/>
          <w:color w:val="000000"/>
          <w:sz w:val="24"/>
        </w:rPr>
        <w:t>During the 24 weeks ended June 13, 2026, the U.S. Supreme Court ruled that many of the tariffs previously imposed under the International Emergency Economic Powers Act (IEEPA) were invalid. Following this ruling, we have submitted, and expect to continue to submit, tariff recovery claims through the U.S. Customs and Border Protection (CBP) seeking a refund of certain eligible IEEPA tariffs. While we have begun to receive, and may continue to receive, refunds of such tariffs, the ultimate recoverability, timing and amount of any such refunds remain uncertain and subject to CBP review as well as further legal, regulatory and administrative developments. In addition, the U.S. Administration initiated new tariffs and may impose additional tariffs. As a result, there remains significant uncertainty regarding the duration and scope of existing and future tariffs and the impact of such tariffs will continue to vary, including based on where inputs are sourced from and shipped to. In addition, any supply chain constraints, inflationary impacts or reduced consumer demand for our products as a result of such tariffs or ongoing macroeconomic uncertainty have impacted and could continue to impact our results.</w:t>
      </w:r>
      <w:r>
        <w:rPr>
          <w:color w:val="000000"/>
          <w:shd w:fill="FFFFFF" w:val="clear"/>
        </w:rPr>
        <w:t xml:space="preserve"> </w:t>
      </w:r>
      <w:r>
        <w:rPr>
          <w:rFonts w:ascii="Times New Roman;serif" w:hAnsi="Times New Roman;serif"/>
          <w:b w:val="false"/>
          <w:color w:val="000000"/>
          <w:sz w:val="24"/>
          <w:shd w:fill="FFFFFF" w:val="clear"/>
        </w:rPr>
        <w:t>We will continue to evaluate the nature and extent of the impact of these tariffs on our business, to identify actions to potentially mitigate, where possible, any unfavorable impacts on our business and to monitor the regulatory and administrative developments around the potential refund of tariffs previously paid and assess their impact on our future results.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Imposition of Taxes and Regulations on our Products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Certain jurisdictions in which our products are made, manufactured, distributed or sold have either imposed, or are considering imposing, new or increased taxes or regulations on the manufacture, distribution or sale of our products or their packaging, ingredients or substances contained in, or attributes of, our products or their packaging, commodities used in the production of our products or their packaging or the recyclability or recoverability of our packaging. These taxes and regulations vary in scope and form. For example, some taxes apply to all beverages, including non-caloric beverages, while others apply only to beverages with a caloric sweetener (e.g., sugar). Further, some regulations apply to all products using certain types of packaging (e.g., plastic), while others are designed to increase the sustainability of packaging, encourage waste reduction and increased recycling rates or facilitate the waste management process or restrict the sale of products in certain packaging. In addition, certain jurisdictions in which our snack products are sold have either imposed or are considering imposing, new or increased taxes on the manufacture, distribution or sale of certain of our snack products as a result of ingredients (such as sugar, sodium or saturated fat) contained in our products.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sell a wide variety of beverages and convenient foods in more than 200 countries and territories and the profile of the products we sell, the amount of revenue attributable to such products and the type of packaging used vary by jurisdiction. Because of this, we cannot predict the scope or form potential taxes, regulations or other limitations on our products or their packaging may take, and therefore cannot predict the impact of such taxes, regulations or limitations on our financial results. In addition, taxes, regulations and limitations may impact us and our competitors differently. We expect continued scrutiny of certain ingredients and substances present in certain of our products and packaging. We continue to monitor existing and proposed taxes and regulations in the jurisdictions in which our products are made, manufactured, distributed and sold and to consider actions we may take to potentially mitigate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unfavorable impact, if any, of such taxes, regulations or limitations, including advocating alternative measures with respect to the imposition, form and scope of any such taxes, regulations or limitations. </w:t>
      </w:r>
    </w:p>
    <w:p>
      <w:pPr>
        <w:pStyle w:val="TextBody"/>
        <w:bidi w:val="0"/>
        <w:spacing w:lineRule="auto" w:line="288" w:before="120" w:after="120"/>
        <w:jc w:val="both"/>
        <w:rPr>
          <w:rFonts w:ascii="Times New Roman;serif" w:hAnsi="Times New Roman;serif"/>
          <w:b/>
          <w:i/>
          <w:color w:val="000000"/>
          <w:sz w:val="24"/>
          <w:shd w:fill="FFFFFF" w:val="clear"/>
        </w:rPr>
      </w:pPr>
      <w:r>
        <w:rPr>
          <w:rFonts w:ascii="Times New Roman;serif" w:hAnsi="Times New Roman;serif"/>
          <w:b/>
          <w:i/>
          <w:color w:val="000000"/>
          <w:sz w:val="24"/>
          <w:shd w:fill="FFFFFF" w:val="clear"/>
        </w:rPr>
        <w:t>Organization for Economic Co-operation and Development (OECD) Model Global Minimum Tax</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2026, widespread implementation of the OECD model rules for a global minimum tax rate of 15% came into effect in various countries in which we do business, including European Union member states, resulting in an increase in our income tax provision. We will continue to monitor for additional changes to the legislation, which could further impact our income tax provision.</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Retail Landscape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Our industry continues to be affected by disruption of the retail landscape, including the continued growth in sales through e-commerce websites and mobile commerce applications, including through subscription services, the integration of physical and digital operations among retailers and the international expansion of hard discounters. We have seen and expect to continue to see a further shift to e-commerce, online-to-offline and other online purchasing by consumers. We continue to monitor changes in the retail landscape and seek to identify actions we may take to build our global e-commerce and digital capabilities, such as expanding our direct-to-consumer business, and distribute our products effectively through all existing and emerging channels of trade and potentially mitigate any unfavorable impacts on our future 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Changing dynamics at the retail level have also impacted and may continue to impact our ability to grow in certain jurisdictions. In this changing retail landscape, retailers and buying groups are shifting traditional value propositions, removing our products or otherwise reducing shelf space allocated to our products and focusing on introducing and developing private-label brands. We have seen and expect to continue to see retailers and buying groups impact our ability to compete in these jurisdictions. We continue to monitor our relationships with retailers and buying groups and seek to identify actions we may take to maintain mutually beneficial relationships and resolve any significant disputes and potentially mitigate any unfavorable impacts on our future 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Cautionary statements included above and in “Item 1A. Risk Factors” and “Item 7. Management’s Discussion and Analysis of Financial Condition and Results of Operations – Our Business Risks” in our 2025 Form 10-K should be considered when evaluating our trends and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Results of Operations – Consolidated Review</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Consolidated Results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Volume</w:t>
      </w:r>
    </w:p>
    <w:p>
      <w:pPr>
        <w:pStyle w:val="TextBody"/>
        <w:bidi w:val="0"/>
        <w:spacing w:lineRule="auto" w:line="288" w:before="120" w:after="120"/>
        <w:jc w:val="both"/>
        <w:rPr/>
      </w:pPr>
      <w:r>
        <w:rPr>
          <w:rFonts w:ascii="Times New Roman;serif" w:hAnsi="Times New Roman;serif"/>
          <w:b w:val="false"/>
          <w:color w:val="000000"/>
          <w:sz w:val="24"/>
        </w:rPr>
        <w:t>Physical or unit volume is one of the key metrics management uses internally to make operating and strategic decisions, including the preparation of our annual operating plan and the evaluation of our business performance. We believe volume provides additional information to facilitate the comparison of our historical operating performance and underlying trends and provides additional transparency on how we evaluate our business because it measures demand for our products at the consumer level. See “Item 7. Management’s Discussion and Analysis of Financial Condition and Results of Operations – Our Financial Results – Volume” included in our 2025 Form 10-K for further information on volume. Unit volume performance adjusts for the impacts of acquisitions and divestitures. Acquisitions and divestitures, when used in this report, reflect mergers and acquisitions activity, as well as divestitures and other structural changes. Further, unit volume performance excludes the impact of an additional week of results every five or six years (53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reporting week), where applicable.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report all of our international operations on a monthly calendar basis. The 12 weeks ended June 13, 2026 and June 14, 2025 include volume outside of North America for the months of March, April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May. The 24 weeks ended June 13, 2026 and June 14, 2025 include volume outside of North America for the months of January through May.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Consolidated Net Revenue and Operating Profit</w:t>
      </w:r>
    </w:p>
    <w:tbl>
      <w:tblPr>
        <w:tblW w:w="9910" w:type="dxa"/>
        <w:jc w:val="left"/>
        <w:tblInd w:w="0" w:type="dxa"/>
        <w:tblLayout w:type="fixed"/>
        <w:tblCellMar>
          <w:top w:w="28" w:type="dxa"/>
          <w:left w:w="28" w:type="dxa"/>
          <w:bottom w:w="28" w:type="dxa"/>
          <w:right w:w="28" w:type="dxa"/>
        </w:tblCellMar>
      </w:tblPr>
      <w:tblGrid>
        <w:gridCol w:w="559"/>
        <w:gridCol w:w="492"/>
        <w:gridCol w:w="493"/>
        <w:gridCol w:w="211"/>
        <w:gridCol w:w="736"/>
        <w:gridCol w:w="301"/>
        <w:gridCol w:w="109"/>
        <w:gridCol w:w="109"/>
        <w:gridCol w:w="109"/>
        <w:gridCol w:w="211"/>
        <w:gridCol w:w="721"/>
        <w:gridCol w:w="271"/>
        <w:gridCol w:w="109"/>
        <w:gridCol w:w="109"/>
        <w:gridCol w:w="109"/>
        <w:gridCol w:w="240"/>
        <w:gridCol w:w="241"/>
        <w:gridCol w:w="437"/>
        <w:gridCol w:w="109"/>
        <w:gridCol w:w="109"/>
        <w:gridCol w:w="109"/>
        <w:gridCol w:w="211"/>
        <w:gridCol w:w="736"/>
        <w:gridCol w:w="301"/>
        <w:gridCol w:w="109"/>
        <w:gridCol w:w="109"/>
        <w:gridCol w:w="109"/>
        <w:gridCol w:w="211"/>
        <w:gridCol w:w="721"/>
        <w:gridCol w:w="271"/>
        <w:gridCol w:w="109"/>
        <w:gridCol w:w="109"/>
        <w:gridCol w:w="109"/>
        <w:gridCol w:w="210"/>
        <w:gridCol w:w="211"/>
        <w:gridCol w:w="490"/>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24,181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43,624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“Results of Operations – Segment Review” for a tabular presentation and discussion of key drivers of net revenue.</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125%, primarily driven by prior-year impairment charges related to the Rockstar and Be &amp; Cheery brands, productivity savings, effective net pricing, lower restructuring charges and a favorable net impact of acquisition and divestiture-related charges/credits, partially offset by certain operating cost increases.</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24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65%, primarily driven by prior-year impairment charges related to the Rockstar and Be &amp; Cheery brands, productivity savings, effective net pricing, a favorable net impact of acquisition and divestiture-related charges/credits and lower restructuring charges,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Other Consolidated Results</w:t>
      </w:r>
    </w:p>
    <w:tbl>
      <w:tblPr>
        <w:tblW w:w="10205" w:type="dxa"/>
        <w:jc w:val="left"/>
        <w:tblInd w:w="0" w:type="dxa"/>
        <w:tblLayout w:type="fixed"/>
        <w:tblCellMar>
          <w:top w:w="28" w:type="dxa"/>
          <w:left w:w="28" w:type="dxa"/>
          <w:bottom w:w="28" w:type="dxa"/>
          <w:right w:w="28" w:type="dxa"/>
        </w:tblCellMar>
      </w:tblPr>
      <w:tblGrid>
        <w:gridCol w:w="913"/>
        <w:gridCol w:w="606"/>
        <w:gridCol w:w="608"/>
        <w:gridCol w:w="211"/>
        <w:gridCol w:w="631"/>
        <w:gridCol w:w="301"/>
        <w:gridCol w:w="109"/>
        <w:gridCol w:w="109"/>
        <w:gridCol w:w="109"/>
        <w:gridCol w:w="211"/>
        <w:gridCol w:w="616"/>
        <w:gridCol w:w="271"/>
        <w:gridCol w:w="109"/>
        <w:gridCol w:w="109"/>
        <w:gridCol w:w="109"/>
        <w:gridCol w:w="211"/>
        <w:gridCol w:w="391"/>
        <w:gridCol w:w="301"/>
        <w:gridCol w:w="109"/>
        <w:gridCol w:w="109"/>
        <w:gridCol w:w="109"/>
        <w:gridCol w:w="211"/>
        <w:gridCol w:w="631"/>
        <w:gridCol w:w="301"/>
        <w:gridCol w:w="109"/>
        <w:gridCol w:w="109"/>
        <w:gridCol w:w="109"/>
        <w:gridCol w:w="211"/>
        <w:gridCol w:w="616"/>
        <w:gridCol w:w="271"/>
        <w:gridCol w:w="109"/>
        <w:gridCol w:w="109"/>
        <w:gridCol w:w="109"/>
        <w:gridCol w:w="211"/>
        <w:gridCol w:w="391"/>
        <w:gridCol w:w="301"/>
        <w:gridCol w:w="155"/>
      </w:tblGrid>
      <w:tr>
        <w:trPr/>
        <w:tc>
          <w:tcPr>
            <w:tcW w:w="9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rate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PepsiCo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PepsiCo per common share – diluted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Other pension and retiree medical benefits income increased $17 million, primarily reflecting the impact of changes in discount rates and higher expected return on plan assets.</w:t>
      </w:r>
    </w:p>
    <w:p>
      <w:pPr>
        <w:pStyle w:val="TextBody"/>
        <w:bidi w:val="0"/>
        <w:spacing w:lineRule="auto" w:line="288" w:before="0" w:after="120"/>
        <w:jc w:val="both"/>
        <w:rPr/>
      </w:pPr>
      <w:r>
        <w:rPr>
          <w:rFonts w:ascii="Times New Roman;serif" w:hAnsi="Times New Roman;serif"/>
          <w:b w:val="false"/>
          <w:color w:val="000000"/>
          <w:sz w:val="24"/>
        </w:rPr>
        <w:t>Net interest expense and other decreased</w:t>
      </w:r>
      <w:r>
        <w:rPr>
          <w:color w:val="000000"/>
          <w:shd w:fill="FFFFFF" w:val="clear"/>
        </w:rPr>
        <w:t xml:space="preserve"> </w:t>
      </w:r>
      <w:r>
        <w:rPr>
          <w:rFonts w:ascii="Times New Roman;serif" w:hAnsi="Times New Roman;serif"/>
          <w:b w:val="false"/>
          <w:color w:val="000000"/>
          <w:sz w:val="24"/>
        </w:rPr>
        <w:t>$30 million, due to higher average cash balances, higher gains on the market value of investments used to economically hedge a portion of our deferred compensation liability and lower interest rates on average debt balances, partially offset by higher average debt balances and lower interest rates on average cash balances.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reported tax rate increased 3.4 percentage points, primarily reflecting the prior-year release of federal interest accruals and the impairment of the Rockstar brand, as well as the current-year impact of the OECD model global minimum tax, partially offset by higher tax benefits from foreign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24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Other pension and retiree medical benefits income increased $52 million, primarily reflecting the impact of changes in discount rates, higher expected return on plan assets, and the prior-year recognition of special termination benefits due to restructuring actions as part of our 2019 Productivity Plan. </w:t>
      </w:r>
    </w:p>
    <w:p>
      <w:pPr>
        <w:pStyle w:val="TextBody"/>
        <w:bidi w:val="0"/>
        <w:spacing w:lineRule="auto" w:line="288" w:before="120" w:after="120"/>
        <w:jc w:val="both"/>
        <w:rPr/>
      </w:pPr>
      <w:r>
        <w:rPr>
          <w:rFonts w:ascii="Times New Roman;serif" w:hAnsi="Times New Roman;serif"/>
          <w:b w:val="false"/>
          <w:color w:val="000000"/>
          <w:sz w:val="24"/>
        </w:rPr>
        <w:t>Net interest expense and other increased</w:t>
      </w:r>
      <w:r>
        <w:rPr>
          <w:color w:val="000000"/>
          <w:shd w:fill="FFFFFF" w:val="clear"/>
        </w:rPr>
        <w:t xml:space="preserve"> </w:t>
      </w:r>
      <w:r>
        <w:rPr>
          <w:rFonts w:ascii="Times New Roman;serif" w:hAnsi="Times New Roman;serif"/>
          <w:b w:val="false"/>
          <w:color w:val="000000"/>
          <w:sz w:val="24"/>
        </w:rPr>
        <w:t>$7 million, due to higher average debt balances and lower interest rates on average cash balances, partially offset by higher average cash balances, lower interest rates on average debt balances and higher gains on the market value of investments used to economically hedge a portion of our deferred compensation liability.</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reported tax rate increased 1.5 percentage points, primarily reflecting the prior-year release of federal interest accruals and the impairment of the Rockstar brand, as well as the current-year impact of the OECD model global minimum tax, partially offset by higher tax benefits from foreign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Results of Operations – Segment Review</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While our financial results in North America are reported on a 12-week basis, all of our international operations are reported on a monthly calendar basis for which the months of March, April and May are reflected in our results for the 12 weeks ended June 13, 2026 and June 14, 2025 and the months January through May are reflected in our results for the 24 weeks ended June 13, 2026 and June 14,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the discussions of net revenue and operating profit below, “effective net pricing” reflects the year-over-year impact of discrete pricing actions, sales incentive activities and mix resulting from selling varying products in different package sizes and in different countries.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See “Our Business Risks,” “Non-GAAP Measures” and “Items Affecting Comparability” for a discussion of items to consider when evaluating our results and related information regarding measures not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Net Revenue and Organic Revenue Performance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Organic revenue performance is a non-GAAP financial measure. For a description of and further information regarding this measure, see “Non-GAAP Measures.”</w:t>
      </w:r>
    </w:p>
    <w:tbl>
      <w:tblPr>
        <w:tblW w:w="10205" w:type="dxa"/>
        <w:jc w:val="left"/>
        <w:tblInd w:w="0" w:type="dxa"/>
        <w:tblLayout w:type="fixed"/>
        <w:tblCellMar>
          <w:top w:w="28" w:type="dxa"/>
          <w:left w:w="28" w:type="dxa"/>
          <w:bottom w:w="28" w:type="dxa"/>
          <w:right w:w="28" w:type="dxa"/>
        </w:tblCellMar>
      </w:tblPr>
      <w:tblGrid>
        <w:gridCol w:w="371"/>
        <w:gridCol w:w="326"/>
        <w:gridCol w:w="334"/>
        <w:gridCol w:w="268"/>
        <w:gridCol w:w="268"/>
        <w:gridCol w:w="745"/>
        <w:gridCol w:w="109"/>
        <w:gridCol w:w="109"/>
        <w:gridCol w:w="109"/>
        <w:gridCol w:w="439"/>
        <w:gridCol w:w="439"/>
        <w:gridCol w:w="441"/>
        <w:gridCol w:w="109"/>
        <w:gridCol w:w="109"/>
        <w:gridCol w:w="109"/>
        <w:gridCol w:w="463"/>
        <w:gridCol w:w="463"/>
        <w:gridCol w:w="465"/>
        <w:gridCol w:w="109"/>
        <w:gridCol w:w="109"/>
        <w:gridCol w:w="109"/>
        <w:gridCol w:w="289"/>
        <w:gridCol w:w="289"/>
        <w:gridCol w:w="802"/>
        <w:gridCol w:w="109"/>
        <w:gridCol w:w="109"/>
        <w:gridCol w:w="109"/>
        <w:gridCol w:w="360"/>
        <w:gridCol w:w="360"/>
        <w:gridCol w:w="361"/>
        <w:gridCol w:w="109"/>
        <w:gridCol w:w="109"/>
        <w:gridCol w:w="109"/>
        <w:gridCol w:w="315"/>
        <w:gridCol w:w="315"/>
        <w:gridCol w:w="457"/>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 6/13/2026</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Reported </w:t>
              <w:br/>
              <w:t>% Change, 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 and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Organic </w:t>
            </w:r>
          </w:p>
          <w:p>
            <w:pPr>
              <w:pStyle w:val="TableContents"/>
              <w:bidi w:val="0"/>
              <w:spacing w:lineRule="auto" w:line="240" w:before="0" w:after="0"/>
              <w:jc w:val="center"/>
              <w:rPr/>
            </w:pPr>
            <w:r>
              <w:rPr>
                <w:rFonts w:ascii="Times New Roman;serif" w:hAnsi="Times New Roman;serif"/>
                <w:b/>
                <w:color w:val="000000"/>
                <w:sz w:val="20"/>
              </w:rPr>
              <w:t>% Change, non-GAAP measure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Organic volume change</w:t>
            </w:r>
            <w:r>
              <w:rPr>
                <w:rFonts w:ascii="Times New Roman;serif" w:hAnsi="Times New Roman;serif"/>
                <w:b/>
                <w:color w:val="000000"/>
                <w:sz w:val="13"/>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net pricing</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5"/>
        <w:gridCol w:w="323"/>
        <w:gridCol w:w="255"/>
        <w:gridCol w:w="255"/>
        <w:gridCol w:w="708"/>
        <w:gridCol w:w="109"/>
        <w:gridCol w:w="109"/>
        <w:gridCol w:w="109"/>
        <w:gridCol w:w="415"/>
        <w:gridCol w:w="415"/>
        <w:gridCol w:w="416"/>
        <w:gridCol w:w="109"/>
        <w:gridCol w:w="109"/>
        <w:gridCol w:w="109"/>
        <w:gridCol w:w="442"/>
        <w:gridCol w:w="442"/>
        <w:gridCol w:w="443"/>
        <w:gridCol w:w="109"/>
        <w:gridCol w:w="109"/>
        <w:gridCol w:w="109"/>
        <w:gridCol w:w="270"/>
        <w:gridCol w:w="270"/>
        <w:gridCol w:w="751"/>
        <w:gridCol w:w="109"/>
        <w:gridCol w:w="109"/>
        <w:gridCol w:w="109"/>
        <w:gridCol w:w="109"/>
        <w:gridCol w:w="109"/>
        <w:gridCol w:w="109"/>
        <w:gridCol w:w="109"/>
        <w:gridCol w:w="337"/>
        <w:gridCol w:w="337"/>
        <w:gridCol w:w="338"/>
        <w:gridCol w:w="109"/>
        <w:gridCol w:w="109"/>
        <w:gridCol w:w="109"/>
        <w:gridCol w:w="302"/>
        <w:gridCol w:w="302"/>
        <w:gridCol w:w="43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 6/13/2026</w:t>
            </w:r>
          </w:p>
        </w:tc>
        <w:tc>
          <w:tcPr>
            <w:tcW w:w="2491" w:type="dxa"/>
            <w:gridSpan w:val="10"/>
            <w:tcBorders/>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Reported </w:t>
              <w:br/>
              <w:t>% Change, 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 and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Organic </w:t>
            </w:r>
          </w:p>
          <w:p>
            <w:pPr>
              <w:pStyle w:val="TableContents"/>
              <w:bidi w:val="0"/>
              <w:spacing w:lineRule="auto" w:line="240" w:before="0" w:after="0"/>
              <w:jc w:val="center"/>
              <w:rPr/>
            </w:pPr>
            <w:r>
              <w:rPr>
                <w:rFonts w:ascii="Times New Roman;serif" w:hAnsi="Times New Roman;serif"/>
                <w:b/>
                <w:color w:val="000000"/>
                <w:sz w:val="20"/>
              </w:rPr>
              <w:t>% Change, non-GAAP measure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Organic volume change</w:t>
            </w:r>
            <w:r>
              <w:rPr>
                <w:rFonts w:ascii="Times New Roman;serif" w:hAnsi="Times New Roman;serif"/>
                <w:b/>
                <w:color w:val="000000"/>
                <w:sz w:val="13"/>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net pricing</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PBNA </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(a)Amounts may not sum due to rounding.</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(b)Excludes the impact of acquisitions and divestitures. In certain instances, the impact of organic volume change on net revenue performance differs from the unit volume change disclosed in the following segment discussions due to the impacts of product mix, nonconsolidated joint venture volume, and, for our franchise beverage businesses, temporary timing differences between bottler case sales and concentrate shipments and equivalents (CSE). We report net revenue from our franchise beverage businesses based on CSE. The volume sold by our nonconsolidated joint ventures has no direct impact on our net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Operating Profit, Operating Profit Adjusted for Items Affecting Comparability and Operating Profit Performance Adjusted for Items Affecting Comparability on a Constant Currency Basis</w:t>
      </w:r>
    </w:p>
    <w:p>
      <w:pPr>
        <w:pStyle w:val="TextBody"/>
        <w:bidi w:val="0"/>
        <w:spacing w:lineRule="auto" w:line="288" w:before="18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adjusted for items affecting comparability and operating profit performance adjusted for items affecting comparability on a constant currency basis are both non-GAAP financial measures. For a description of and further information regarding these measures, see “Non-GAAP Measures” and “Items Affecting Comparability.”</w:t>
      </w:r>
    </w:p>
    <w:tbl>
      <w:tblPr>
        <w:tblW w:w="10218" w:type="dxa"/>
        <w:jc w:val="left"/>
        <w:tblInd w:w="0" w:type="dxa"/>
        <w:tblLayout w:type="fixed"/>
        <w:tblCellMar>
          <w:top w:w="28" w:type="dxa"/>
          <w:left w:w="28" w:type="dxa"/>
          <w:bottom w:w="28" w:type="dxa"/>
          <w:right w:w="28" w:type="dxa"/>
        </w:tblCellMar>
      </w:tblPr>
      <w:tblGrid>
        <w:gridCol w:w="858"/>
        <w:gridCol w:w="253"/>
        <w:gridCol w:w="255"/>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50"/>
        <w:gridCol w:w="556"/>
        <w:gridCol w:w="140"/>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Weeks Ended 6/13/2026</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and impairment charges</w:t>
            </w:r>
            <w:r>
              <w:rPr>
                <w:color w:val="000000"/>
              </w:rPr>
              <w:t xml:space="preserve"> </w:t>
            </w:r>
            <w:r>
              <w:rPr>
                <w:rFonts w:ascii="Times New Roman;serif" w:hAnsi="Times New Roman;serif"/>
                <w:b w:val="false"/>
                <w:color w:val="000000"/>
                <w:sz w:val="10"/>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bookmarkStart w:id="14" w:name="ib7c6402336124dc3b9dc0a90d13126cf_6-0-1-"/>
            <w:bookmarkEnd w:id="14"/>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bookmarkStart w:id="15" w:name="ib7c6402336124dc3b9dc0a90d13126cf_6-3-1-"/>
            <w:bookmarkEnd w:id="15"/>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foreign exchange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non-GAAP measure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7"/>
        <w:gridCol w:w="938"/>
        <w:gridCol w:w="945"/>
        <w:gridCol w:w="208"/>
        <w:gridCol w:w="210"/>
        <w:gridCol w:w="241"/>
        <w:gridCol w:w="109"/>
        <w:gridCol w:w="109"/>
        <w:gridCol w:w="109"/>
        <w:gridCol w:w="203"/>
        <w:gridCol w:w="203"/>
        <w:gridCol w:w="241"/>
        <w:gridCol w:w="109"/>
        <w:gridCol w:w="109"/>
        <w:gridCol w:w="109"/>
        <w:gridCol w:w="165"/>
        <w:gridCol w:w="166"/>
        <w:gridCol w:w="241"/>
        <w:gridCol w:w="109"/>
        <w:gridCol w:w="109"/>
        <w:gridCol w:w="109"/>
        <w:gridCol w:w="210"/>
        <w:gridCol w:w="211"/>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210"/>
        <w:gridCol w:w="211"/>
        <w:gridCol w:w="289"/>
      </w:tblGrid>
      <w:tr>
        <w:trPr/>
        <w:tc>
          <w:tcPr>
            <w:tcW w:w="106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Operating Profit % Change, non-GAAP measure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Operating Profit % Change, non-GAAP measure</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883"/>
        <w:gridCol w:w="304"/>
        <w:gridCol w:w="306"/>
        <w:gridCol w:w="196"/>
        <w:gridCol w:w="556"/>
        <w:gridCol w:w="109"/>
        <w:gridCol w:w="109"/>
        <w:gridCol w:w="109"/>
        <w:gridCol w:w="109"/>
        <w:gridCol w:w="196"/>
        <w:gridCol w:w="439"/>
        <w:gridCol w:w="109"/>
        <w:gridCol w:w="109"/>
        <w:gridCol w:w="109"/>
        <w:gridCol w:w="109"/>
        <w:gridCol w:w="209"/>
        <w:gridCol w:w="451"/>
        <w:gridCol w:w="117"/>
        <w:gridCol w:w="109"/>
        <w:gridCol w:w="109"/>
        <w:gridCol w:w="109"/>
        <w:gridCol w:w="196"/>
        <w:gridCol w:w="421"/>
        <w:gridCol w:w="109"/>
        <w:gridCol w:w="109"/>
        <w:gridCol w:w="109"/>
        <w:gridCol w:w="109"/>
        <w:gridCol w:w="201"/>
        <w:gridCol w:w="431"/>
        <w:gridCol w:w="111"/>
        <w:gridCol w:w="109"/>
        <w:gridCol w:w="109"/>
        <w:gridCol w:w="109"/>
        <w:gridCol w:w="209"/>
        <w:gridCol w:w="353"/>
        <w:gridCol w:w="116"/>
        <w:gridCol w:w="109"/>
        <w:gridCol w:w="109"/>
        <w:gridCol w:w="109"/>
        <w:gridCol w:w="259"/>
        <w:gridCol w:w="577"/>
        <w:gridCol w:w="144"/>
        <w:gridCol w:w="109"/>
        <w:gridCol w:w="109"/>
        <w:gridCol w:w="109"/>
        <w:gridCol w:w="196"/>
        <w:gridCol w:w="556"/>
        <w:gridCol w:w="162"/>
      </w:tblGrid>
      <w:tr>
        <w:trPr/>
        <w:tc>
          <w:tcPr>
            <w:tcW w:w="8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Weeks Ended 6/14/2025</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88" w:type="dxa"/>
        <w:jc w:val="left"/>
        <w:tblInd w:w="0" w:type="dxa"/>
        <w:tblLayout w:type="fixed"/>
        <w:tblCellMar>
          <w:top w:w="28" w:type="dxa"/>
          <w:left w:w="28" w:type="dxa"/>
          <w:bottom w:w="28" w:type="dxa"/>
          <w:right w:w="28" w:type="dxa"/>
        </w:tblCellMar>
      </w:tblPr>
      <w:tblGrid>
        <w:gridCol w:w="858"/>
        <w:gridCol w:w="253"/>
        <w:gridCol w:w="255"/>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50"/>
        <w:gridCol w:w="556"/>
        <w:gridCol w:w="140"/>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24 Weeks Ended 6/13/2026</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foreign exchange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non-GAAP measure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1"/>
        <w:gridCol w:w="1003"/>
        <w:gridCol w:w="1011"/>
        <w:gridCol w:w="143"/>
        <w:gridCol w:w="143"/>
        <w:gridCol w:w="241"/>
        <w:gridCol w:w="109"/>
        <w:gridCol w:w="109"/>
        <w:gridCol w:w="109"/>
        <w:gridCol w:w="187"/>
        <w:gridCol w:w="189"/>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210"/>
        <w:gridCol w:w="211"/>
        <w:gridCol w:w="241"/>
        <w:gridCol w:w="109"/>
        <w:gridCol w:w="109"/>
        <w:gridCol w:w="109"/>
        <w:gridCol w:w="188"/>
        <w:gridCol w:w="188"/>
        <w:gridCol w:w="241"/>
        <w:gridCol w:w="109"/>
        <w:gridCol w:w="109"/>
        <w:gridCol w:w="109"/>
        <w:gridCol w:w="165"/>
        <w:gridCol w:w="166"/>
        <w:gridCol w:w="291"/>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Operating Profit % Change, non-GAAP measure</w:t>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Operating Profit % Change, non-GAAP measure</w:t>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864"/>
        <w:gridCol w:w="267"/>
        <w:gridCol w:w="269"/>
        <w:gridCol w:w="196"/>
        <w:gridCol w:w="556"/>
        <w:gridCol w:w="109"/>
        <w:gridCol w:w="109"/>
        <w:gridCol w:w="109"/>
        <w:gridCol w:w="109"/>
        <w:gridCol w:w="196"/>
        <w:gridCol w:w="556"/>
        <w:gridCol w:w="109"/>
        <w:gridCol w:w="109"/>
        <w:gridCol w:w="109"/>
        <w:gridCol w:w="109"/>
        <w:gridCol w:w="206"/>
        <w:gridCol w:w="445"/>
        <w:gridCol w:w="116"/>
        <w:gridCol w:w="109"/>
        <w:gridCol w:w="109"/>
        <w:gridCol w:w="109"/>
        <w:gridCol w:w="196"/>
        <w:gridCol w:w="421"/>
        <w:gridCol w:w="109"/>
        <w:gridCol w:w="109"/>
        <w:gridCol w:w="109"/>
        <w:gridCol w:w="109"/>
        <w:gridCol w:w="197"/>
        <w:gridCol w:w="424"/>
        <w:gridCol w:w="109"/>
        <w:gridCol w:w="109"/>
        <w:gridCol w:w="109"/>
        <w:gridCol w:w="109"/>
        <w:gridCol w:w="198"/>
        <w:gridCol w:w="427"/>
        <w:gridCol w:w="110"/>
        <w:gridCol w:w="109"/>
        <w:gridCol w:w="109"/>
        <w:gridCol w:w="109"/>
        <w:gridCol w:w="243"/>
        <w:gridCol w:w="543"/>
        <w:gridCol w:w="136"/>
        <w:gridCol w:w="109"/>
        <w:gridCol w:w="109"/>
        <w:gridCol w:w="109"/>
        <w:gridCol w:w="196"/>
        <w:gridCol w:w="556"/>
        <w:gridCol w:w="162"/>
      </w:tblGrid>
      <w:tr>
        <w:trPr/>
        <w:tc>
          <w:tcPr>
            <w:tcW w:w="8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 Weeks Ended 6/14/2025</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“Items Affecting Comparability” for further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(b)Income amount represents adjustments for changes in estimates of previously recorded amounts.</w:t>
      </w:r>
    </w:p>
    <w:p>
      <w:pPr>
        <w:pStyle w:val="TextBody"/>
        <w:bidi w:val="0"/>
        <w:spacing w:lineRule="auto" w:line="288" w:before="180" w:after="12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n/m - Not meaningful due to the impact of prior-year impairment and other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PFNA</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revenue decreased 2%, primarily driven by unfavorable net pricing.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was even with the prior year.</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decreased 3.5%, primarily reflecting certain operating cost increases and the unfavorable net pricing. These impacts were partially offset by productivity savings and lower restructuring charges.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24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revenue increased slightly, primarily driven by an increase in organic volume and a favorable impact of an acquisition, partially offset by unfavorable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1%, driven primarily by a 1% increase in savory snacks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decreased 5%, primarily reflecting certain operating cost increases, the unfavorable net pricing and a 3-percentage-point impact of gains associated with sales of certain assets in the prior year. These impacts were partially offset by productivity savings.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PBNA</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revenue increased 7%, primarily driven by a favorable net impact of acquisitions and divestitures and effective net pricing, partially offset by an organic volume decline.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declined 4%, primarily driven by a 4% decline in noncarbonated beverage (NCB) volume and a 3% decline in carbonated soft drink (CSD)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improvement primarily reflects a prior-year impairment charge related to the Rockstar brand, productivity savings, a favorable net impact of acquisition and divestiture-related charges/credits related to our poppi acquisition, lower restructuring charges, the effective net pricing and </w:t>
      </w:r>
      <w:bookmarkStart w:id="16" w:name="ie9b325eff9d24c709b76344d796af801_8156"/>
      <w:bookmarkEnd w:id="16"/>
      <w:r>
        <w:rPr>
          <w:rFonts w:ascii="Times New Roman;serif" w:hAnsi="Times New Roman;serif"/>
          <w:b w:val="false"/>
          <w:color w:val="000000"/>
          <w:sz w:val="24"/>
        </w:rPr>
        <w:t>a 3-percentage-point impact of a gain on an asset sale. These impacts were partially offset by certain operating cost increases, the decline in organic volume and a 6-percentage-point impact of higher commodity costs.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24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revenue increased 8%, primarily driven by a favorable net impact of acquisitions and divestitures and effective net pricing, partially offset by an organic volume decline.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declined 3%, primarily driven by a 3% decline in CSD volume and a 3.5% decline in NCB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improvement primarily reflects a prior-year impairment charge related to the Rockstar brand, productivity savings, </w:t>
      </w:r>
      <w:bookmarkStart w:id="17" w:name="ie9b325eff9d24c709b76344d796af801_7881"/>
      <w:bookmarkEnd w:id="17"/>
      <w:r>
        <w:rPr>
          <w:rFonts w:ascii="Times New Roman;serif" w:hAnsi="Times New Roman;serif"/>
          <w:b w:val="false"/>
          <w:color w:val="000000"/>
          <w:sz w:val="24"/>
        </w:rPr>
        <w:t>a favorable net impact of acquisition and divestiture-related charges/credits related to our poppi acquisition, lower restructuring charges and the effective net pricing. These impacts were partially offset by certain operating cost increases, the decline in organic volume and a 5-percentage point impact of higher commodity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IB Franchise</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11%, reflecting organic volume growth, effective net pricing and a 2-percentage-point impact of favorable foreign exchange translation.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 volume grew 5%, primarily reflecting broad-based increases, led by India, partially offset by a decline in Mexico.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19%, primarily reflecting the net revenue growth and productivity savings, partially offset by certain operating cost increases.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24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10%, reflecting effective net pricing, organic volume growth and a 3-percentage-point impact of favorable foreign exchange translation.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3%, primarily reflecting broad-based increases, led by India, partially offset by a decline in Mexico.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18%, primarily reflecting the net revenue growth and productivity savings,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EMEA</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10%, reflecting effective net pricing, largely from subsidiaries operating in highly inflationary economies, a 3-percentage-point impact of favorable foreign exchange translation and organic volume growth.</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Convenient foods unit volume grew 4%, primarily reflecting growth in the Middle East, Russia and South Africa.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Beverage unit volume grew 1%, primarily reflecting growth in the Middle East, partially offset by a decline in Turkey.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103%, primarily reflecting a prior-year impairment charge related to the Rockstar brand, the net revenue growth and productivity savings. These impacts were partially offset by certain operating cost increases.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24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13%, primarily reflecting a 6-percentage-point impact of favorable foreign exchange translation, organic volume growth and effective net pricing, largely from subsidiaries operating in highly inflationary economies.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Convenient foods unit volume grew 6%, primarily reflecting growth in South Africa, the Middle East and Russia.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Beverage unit volume grew 1%, primarily reflecting growth in the Middle East, partially offset by a decline in Turkey.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74%, primarily reflecting a prior-year impairment charge related to the Rockstar brand, the net revenue growth and productivity savings. These impacts were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LatAm Foods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15%, primarily reflecting an 11-percentage-point impact of favorable foreign exchange translation, driven primarily by the strengthening of the Mexican peso, and effective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declined slightly, primarily reflecting a decline in Mexico, partially offset by growth in Colombia.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16%, primarily reflecting productivity savings, the effective net pricing and a 13-percentage-point impact of favorable foreign exchange translation, driven primarily by the strengthening of the Mexican peso. These impacts were partially offset by certain operating cost increases and a 9-percentage-point impact of certain indirect tax credits in Brazil in the prior year.</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24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16%, reflecting a 12-percentage-point impact of favorable foreign exchange translation, driven primarily by the strengthening of the Mexican peso, and effective net pricing, partially offset by a decline in organic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Unit volume declined 1%, primarily reflecting a decline in Mexico.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increased 19%, primarily reflecting the effective net pricing, productivity savings and </w:t>
      </w:r>
      <w:bookmarkStart w:id="18" w:name="ic59124cef25d4d78b1a9c5d1b1784260_9609"/>
      <w:bookmarkEnd w:id="18"/>
      <w:r>
        <w:rPr>
          <w:rFonts w:ascii="Times New Roman;serif" w:hAnsi="Times New Roman;serif"/>
          <w:b w:val="false"/>
          <w:color w:val="000000"/>
          <w:sz w:val="24"/>
        </w:rPr>
        <w:t>a 14-percentage-point impact of favorable foreign exchange translation, driven primarily by the strengthening of the Mexican peso. These impacts were partially offset by certain operating cost increases and a 6-percentage-point impact of certain indirect tax credits in Brazil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Asia Pacific Foods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12%, reflecting organic volume growth and a 3-percentage-point impact of favorable foreign exchange translation, partially offset by unfavorable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10%, primarily reflecting growth in India.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improvement primarily reflects a prior-year impairment charge related to the Be &amp; Cheery brand, productivity savings, the organic volume growth and a 9-percentage-point impact of lower commodity costs. These impacts were partially offset by certain operating cost increases.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24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12%, reflecting organic volume growth and a 3-percentage-point impact of favorable foreign exchange translation, partially offset by unfavorable net pricing.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 volume grew 10%, primarily reflecting growth in India and China.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103%, primarily reflecting a prior-year impairment charge related to the Be &amp; Cheery brand, productivity savings, the organic volume growth and a 10-percentage-point impact of lower commodity costs, primarily potatoes and packaging materials. These impacts were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Non-GAAP Measures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Certain financial measures contained in this Form 10-Q adjust for the impact of specified items and are not in accordance with GAAP. We use non-GAAP financial measures internally to make operating and strategic decisions, including the preparation of our annual operating plan, evaluation of our overall business performance and as a factor in determining compensation for certain employees. We believe presenting non-GAAP financial measures in this Form 10-Q provides additional information to facilitate comparison of our historical operating results and trends in our underlying operating results and provides additional transparency on how we evaluate our business. We also believe presenting these measures in this Form 10-Q allows investors to view our performance using the same measures that we use in evaluating our financial and business performance and trends.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consider quantitative and qualitative factors in assessing whether to adjust for the impact of items that may be significant or that could affect an understanding of our ongoing financial and business performance or trends. Examples of items for which we may make adjustments include: amounts related to mark-to-market gains or losses (non-cash); charges related to restructuring plans; charges and credits associated with acquisitions and divestitures; gains associated with divestitures; asset impairment charges (non-cash); product recall-related impact; pension and retiree medical-related amounts, including all settlement and curtailment gains and losses; charges or adjustments related to the enactment of new laws, rules or regulations, such as tax law changes; amounts related to the resolution of tax positions; tax benefits related to reorganizations of our operations; and debt redemptions, cash tender or exchange offers. See below and “Items Affecting Comparability” for a description of adjustments to our GAAP financial measures in this Form 10-Q.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measures presented by other companies.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non-GAAP financial measures contained in this Form 10-Q are discussed below:</w:t>
      </w:r>
    </w:p>
    <w:p>
      <w:pPr>
        <w:pStyle w:val="TextBody"/>
        <w:bidi w:val="0"/>
        <w:spacing w:lineRule="auto" w:line="288" w:before="180" w:after="120"/>
        <w:jc w:val="both"/>
        <w:rPr>
          <w:rFonts w:ascii="Times New Roman;serif" w:hAnsi="Times New Roman;serif"/>
          <w:b w:val="false"/>
          <w:i/>
          <w:color w:val="000000"/>
          <w:sz w:val="24"/>
        </w:rPr>
      </w:pPr>
      <w:r>
        <w:rPr>
          <w:rFonts w:ascii="Times New Roman;serif" w:hAnsi="Times New Roman;serif"/>
          <w:b w:val="false"/>
          <w:i/>
          <w:color w:val="000000"/>
          <w:sz w:val="24"/>
        </w:rPr>
        <w:t>Organic revenue performance</w:t>
      </w:r>
    </w:p>
    <w:p>
      <w:pPr>
        <w:pStyle w:val="TextBody"/>
        <w:bidi w:val="0"/>
        <w:spacing w:lineRule="auto" w:line="288" w:before="120" w:after="120"/>
        <w:jc w:val="both"/>
        <w:rPr/>
      </w:pPr>
      <w:r>
        <w:rPr>
          <w:rFonts w:ascii="Times New Roman;serif" w:hAnsi="Times New Roman;serif"/>
          <w:b w:val="false"/>
          <w:color w:val="000000"/>
          <w:sz w:val="24"/>
        </w:rPr>
        <w:t>We define organic revenue performance as a measure that adjusts for the impacts of foreign exchange translation (on a constant currency basis, as defined below), acquisitions and divestitures, and every five or six years, the impact of the 53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 xml:space="preserve">reporting week. We also apply the constant currency calculation for our subsidiaries operating in highly inflationary economies. Adjusting for acquisitions and divestitures reflects mergers and acquisitions activity, as well as divestitures and other structural changes, including changes in ownership or control in consolidated subsidiaries and nonconsolidated equity investees. We believe organic revenue performance provides useful information in evaluating the results of our business because it adjusts for items that we believe are not indicative of ongoing performance or that we believe impact comparability with the prior year.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“Net Revenue and Organic Revenue Performance” in “Results of Operations – Segment Review” for further information.</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Cost of sales, gross profit, selling, general and administrative expenses, impairment of intangible assets, other pension and retiree medical benefits income, provision for income taxes and net income attributable to PepsiCo, each adjusted for items affecting comparability, operating profit and net income attributable to PepsiCo per common share – diluted, each adjusted for items affecting comparability and the corresponding constant currency growth rates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These measures exclude the net impact of mark-to-market gains and losses on centrally managed commodity derivatives that do not qualify for hedge accounting, restructuring and impairment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related to our 2019 Productivity Plan, charges and credits associated with our acquisitions and divestitures, impairment and other charges and the impact of settlement and curtailment gains and losses related to pension and retiree medical plans (see “Items Affecting Comparability” for a detailed description of each of these items). We also evaluate performance on operating profit and net income attributable to PepsiCo per common share – diluted, each adjusted for items affecting comparability on a constant currency basis, which measure our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We also apply the constant currency calculation for our subsidiaries operating in highly inflationary economies. We believe these measures provide useful information in evaluating the results of our business because they exclude items that we believe are not indicative of our ongoing performance or that we believe impact comparability with the prior year. </w:t>
      </w:r>
    </w:p>
    <w:p>
      <w:pPr>
        <w:pStyle w:val="TextBody"/>
        <w:bidi w:val="0"/>
        <w:spacing w:lineRule="auto" w:line="288" w:before="180" w:after="120"/>
        <w:jc w:val="both"/>
        <w:rPr>
          <w:rFonts w:ascii="Times New Roman;serif" w:hAnsi="Times New Roman;serif"/>
          <w:b w:val="false"/>
          <w:i/>
          <w:color w:val="000000"/>
          <w:sz w:val="24"/>
        </w:rPr>
      </w:pPr>
      <w:r>
        <w:rPr>
          <w:rFonts w:ascii="Times New Roman;serif" w:hAnsi="Times New Roman;serif"/>
          <w:b w:val="false"/>
          <w:i/>
          <w:color w:val="000000"/>
          <w:sz w:val="24"/>
        </w:rPr>
        <w:t>Free cash flow</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define free cash flow as net cash from operating activities less capital spending, plus sales of property, plant and equipment. Since net capital spending (capital spending less cash proceeds from sales of property, plant and equipment)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“Free Cash Flow” in “Our Liquidity and Capital Resources”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Items Affecting Comparability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Our reported financial results in this Form 10-Q are impacted by the following items in each of the following periods:</w:t>
      </w:r>
    </w:p>
    <w:tbl>
      <w:tblPr>
        <w:tblW w:w="10205" w:type="dxa"/>
        <w:jc w:val="left"/>
        <w:tblInd w:w="0" w:type="dxa"/>
        <w:tblLayout w:type="fixed"/>
        <w:tblCellMar>
          <w:top w:w="28" w:type="dxa"/>
          <w:left w:w="28" w:type="dxa"/>
          <w:bottom w:w="28" w:type="dxa"/>
          <w:right w:w="28" w:type="dxa"/>
        </w:tblCellMar>
      </w:tblPr>
      <w:tblGrid>
        <w:gridCol w:w="821"/>
        <w:gridCol w:w="396"/>
        <w:gridCol w:w="398"/>
        <w:gridCol w:w="182"/>
        <w:gridCol w:w="589"/>
        <w:gridCol w:w="109"/>
        <w:gridCol w:w="109"/>
        <w:gridCol w:w="109"/>
        <w:gridCol w:w="109"/>
        <w:gridCol w:w="181"/>
        <w:gridCol w:w="587"/>
        <w:gridCol w:w="109"/>
        <w:gridCol w:w="109"/>
        <w:gridCol w:w="109"/>
        <w:gridCol w:w="109"/>
        <w:gridCol w:w="332"/>
        <w:gridCol w:w="938"/>
        <w:gridCol w:w="201"/>
        <w:gridCol w:w="109"/>
        <w:gridCol w:w="109"/>
        <w:gridCol w:w="109"/>
        <w:gridCol w:w="109"/>
        <w:gridCol w:w="109"/>
        <w:gridCol w:w="199"/>
        <w:gridCol w:w="564"/>
        <w:gridCol w:w="120"/>
        <w:gridCol w:w="109"/>
        <w:gridCol w:w="109"/>
        <w:gridCol w:w="109"/>
        <w:gridCol w:w="109"/>
        <w:gridCol w:w="109"/>
        <w:gridCol w:w="261"/>
        <w:gridCol w:w="565"/>
        <w:gridCol w:w="160"/>
        <w:gridCol w:w="109"/>
        <w:gridCol w:w="109"/>
        <w:gridCol w:w="109"/>
        <w:gridCol w:w="109"/>
        <w:gridCol w:w="109"/>
        <w:gridCol w:w="255"/>
        <w:gridCol w:w="721"/>
        <w:gridCol w:w="228"/>
      </w:tblGrid>
      <w:tr>
        <w:trPr/>
        <w:tc>
          <w:tcPr>
            <w:tcW w:w="82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12 Weeks Ended 6/13/2026</w:t>
            </w:r>
          </w:p>
        </w:tc>
        <w:tc>
          <w:tcPr>
            <w:tcW w:w="3062" w:type="dxa"/>
            <w:gridSpan w:val="14"/>
            <w:tcBorders/>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Provision for income taxes</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income attributable to PepsiCo</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9,088</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4,023</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848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2,981</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11,063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9,051</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4,067</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857</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3,016</w:t>
            </w:r>
            <w:r>
              <w:rPr>
                <w:color w:val="000000"/>
              </w:rPr>
              <w:t>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0"/>
        <w:gridCol w:w="234"/>
        <w:gridCol w:w="235"/>
        <w:gridCol w:w="181"/>
        <w:gridCol w:w="571"/>
        <w:gridCol w:w="109"/>
        <w:gridCol w:w="109"/>
        <w:gridCol w:w="109"/>
        <w:gridCol w:w="109"/>
        <w:gridCol w:w="181"/>
        <w:gridCol w:w="571"/>
        <w:gridCol w:w="109"/>
        <w:gridCol w:w="109"/>
        <w:gridCol w:w="109"/>
        <w:gridCol w:w="109"/>
        <w:gridCol w:w="226"/>
        <w:gridCol w:w="620"/>
        <w:gridCol w:w="137"/>
        <w:gridCol w:w="109"/>
        <w:gridCol w:w="109"/>
        <w:gridCol w:w="109"/>
        <w:gridCol w:w="186"/>
        <w:gridCol w:w="511"/>
        <w:gridCol w:w="113"/>
        <w:gridCol w:w="109"/>
        <w:gridCol w:w="109"/>
        <w:gridCol w:w="109"/>
        <w:gridCol w:w="181"/>
        <w:gridCol w:w="498"/>
        <w:gridCol w:w="109"/>
        <w:gridCol w:w="109"/>
        <w:gridCol w:w="109"/>
        <w:gridCol w:w="109"/>
        <w:gridCol w:w="190"/>
        <w:gridCol w:w="317"/>
        <w:gridCol w:w="115"/>
        <w:gridCol w:w="109"/>
        <w:gridCol w:w="109"/>
        <w:gridCol w:w="109"/>
        <w:gridCol w:w="190"/>
        <w:gridCol w:w="398"/>
        <w:gridCol w:w="116"/>
        <w:gridCol w:w="109"/>
        <w:gridCol w:w="109"/>
        <w:gridCol w:w="109"/>
        <w:gridCol w:w="109"/>
        <w:gridCol w:w="109"/>
        <w:gridCol w:w="185"/>
        <w:gridCol w:w="507"/>
        <w:gridCol w:w="168"/>
      </w:tblGrid>
      <w:tr>
        <w:trPr/>
        <w:tc>
          <w:tcPr>
            <w:tcW w:w="7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7"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 Weeks Ended 6/14/2025</w:t>
            </w:r>
          </w:p>
        </w:tc>
        <w:tc>
          <w:tcPr>
            <w:tcW w:w="969" w:type="dxa"/>
            <w:gridSpan w:val="4"/>
            <w:tcBorders/>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Impairment of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Provision for income taxes</w:t>
            </w:r>
            <w:r>
              <w:rPr>
                <w:rFonts w:ascii="Times New Roman;serif" w:hAnsi="Times New Roman;serif"/>
                <w:b w:val="false"/>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5"/>
              </w:rPr>
            </w:pPr>
            <w:r>
              <w:rPr>
                <w:rFonts w:ascii="Times New Roman;serif" w:hAnsi="Times New Roman;serif"/>
                <w:b w:val="false"/>
                <w:color w:val="000000"/>
                <w:sz w:val="15"/>
              </w:rPr>
              <w:t>Net income attributable to PepsiCo</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 and retiree medical-related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8,615 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767"/>
        <w:gridCol w:w="288"/>
        <w:gridCol w:w="289"/>
        <w:gridCol w:w="181"/>
        <w:gridCol w:w="587"/>
        <w:gridCol w:w="109"/>
        <w:gridCol w:w="109"/>
        <w:gridCol w:w="109"/>
        <w:gridCol w:w="109"/>
        <w:gridCol w:w="181"/>
        <w:gridCol w:w="586"/>
        <w:gridCol w:w="109"/>
        <w:gridCol w:w="109"/>
        <w:gridCol w:w="109"/>
        <w:gridCol w:w="109"/>
        <w:gridCol w:w="247"/>
        <w:gridCol w:w="801"/>
        <w:gridCol w:w="149"/>
        <w:gridCol w:w="109"/>
        <w:gridCol w:w="109"/>
        <w:gridCol w:w="109"/>
        <w:gridCol w:w="109"/>
        <w:gridCol w:w="109"/>
        <w:gridCol w:w="187"/>
        <w:gridCol w:w="530"/>
        <w:gridCol w:w="113"/>
        <w:gridCol w:w="109"/>
        <w:gridCol w:w="109"/>
        <w:gridCol w:w="109"/>
        <w:gridCol w:w="239"/>
        <w:gridCol w:w="517"/>
        <w:gridCol w:w="144"/>
        <w:gridCol w:w="109"/>
        <w:gridCol w:w="109"/>
        <w:gridCol w:w="109"/>
        <w:gridCol w:w="181"/>
        <w:gridCol w:w="511"/>
        <w:gridCol w:w="109"/>
        <w:gridCol w:w="109"/>
        <w:gridCol w:w="109"/>
        <w:gridCol w:w="109"/>
        <w:gridCol w:w="109"/>
        <w:gridCol w:w="109"/>
        <w:gridCol w:w="208"/>
        <w:gridCol w:w="588"/>
        <w:gridCol w:w="186"/>
      </w:tblGrid>
      <w:tr>
        <w:trPr/>
        <w:tc>
          <w:tcPr>
            <w:tcW w:w="7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24 Weeks Ended 6/13/2026</w:t>
            </w:r>
          </w:p>
        </w:tc>
        <w:tc>
          <w:tcPr>
            <w:tcW w:w="1527" w:type="dxa"/>
            <w:gridSpan w:val="8"/>
            <w:tcBorders/>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Provision</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for income</w:t>
            </w:r>
          </w:p>
          <w:p>
            <w:pPr>
              <w:pStyle w:val="TableContents"/>
              <w:bidi w:val="0"/>
              <w:spacing w:lineRule="auto" w:line="240" w:before="0" w:after="0"/>
              <w:jc w:val="center"/>
              <w:rPr/>
            </w:pPr>
            <w:r>
              <w:rPr>
                <w:rFonts w:ascii="Times New Roman;serif" w:hAnsi="Times New Roman;serif"/>
                <w:b/>
                <w:color w:val="000000"/>
                <w:sz w:val="15"/>
              </w:rPr>
              <w:t>taxes</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income attributable to PepsiCo</w:t>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16,606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7,236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5,308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23,833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16,716</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7,117</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118</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5,220</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84" w:type="dxa"/>
        <w:jc w:val="center"/>
        <w:tblInd w:w="0" w:type="dxa"/>
        <w:tblLayout w:type="fixed"/>
        <w:tblCellMar>
          <w:top w:w="28" w:type="dxa"/>
          <w:left w:w="28" w:type="dxa"/>
          <w:bottom w:w="28" w:type="dxa"/>
          <w:right w:w="28" w:type="dxa"/>
        </w:tblCellMar>
      </w:tblPr>
      <w:tblGrid>
        <w:gridCol w:w="735"/>
        <w:gridCol w:w="225"/>
        <w:gridCol w:w="226"/>
        <w:gridCol w:w="181"/>
        <w:gridCol w:w="571"/>
        <w:gridCol w:w="109"/>
        <w:gridCol w:w="109"/>
        <w:gridCol w:w="109"/>
        <w:gridCol w:w="109"/>
        <w:gridCol w:w="181"/>
        <w:gridCol w:w="571"/>
        <w:gridCol w:w="109"/>
        <w:gridCol w:w="109"/>
        <w:gridCol w:w="109"/>
        <w:gridCol w:w="109"/>
        <w:gridCol w:w="202"/>
        <w:gridCol w:w="637"/>
        <w:gridCol w:w="122"/>
        <w:gridCol w:w="109"/>
        <w:gridCol w:w="109"/>
        <w:gridCol w:w="109"/>
        <w:gridCol w:w="109"/>
        <w:gridCol w:w="109"/>
        <w:gridCol w:w="183"/>
        <w:gridCol w:w="502"/>
        <w:gridCol w:w="111"/>
        <w:gridCol w:w="109"/>
        <w:gridCol w:w="109"/>
        <w:gridCol w:w="109"/>
        <w:gridCol w:w="181"/>
        <w:gridCol w:w="496"/>
        <w:gridCol w:w="109"/>
        <w:gridCol w:w="109"/>
        <w:gridCol w:w="109"/>
        <w:gridCol w:w="109"/>
        <w:gridCol w:w="181"/>
        <w:gridCol w:w="301"/>
        <w:gridCol w:w="109"/>
        <w:gridCol w:w="109"/>
        <w:gridCol w:w="109"/>
        <w:gridCol w:w="109"/>
        <w:gridCol w:w="181"/>
        <w:gridCol w:w="496"/>
        <w:gridCol w:w="109"/>
        <w:gridCol w:w="109"/>
        <w:gridCol w:w="109"/>
        <w:gridCol w:w="109"/>
        <w:gridCol w:w="109"/>
        <w:gridCol w:w="109"/>
        <w:gridCol w:w="181"/>
        <w:gridCol w:w="496"/>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24 Weeks Ended 6/14/2025</w:t>
            </w:r>
          </w:p>
        </w:tc>
        <w:tc>
          <w:tcPr>
            <w:tcW w:w="1376" w:type="dxa"/>
            <w:gridSpan w:val="8"/>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Impairment of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Provision for income taxes</w:t>
            </w:r>
            <w:r>
              <w:rPr>
                <w:rFonts w:ascii="Times New Roman;serif" w:hAnsi="Times New Roman;serif"/>
                <w:b w:val="false"/>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5"/>
              </w:rPr>
            </w:pPr>
            <w:r>
              <w:rPr>
                <w:rFonts w:ascii="Times New Roman;serif" w:hAnsi="Times New Roman;serif"/>
                <w:b w:val="false"/>
                <w:color w:val="000000"/>
                <w:sz w:val="15"/>
              </w:rPr>
              <w:t>Net income attributable to PepsiCo</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 and retiree medical-related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15,809 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(a)Provision for income taxes is the expected tax charge/benefit on the underlying item based on the tax laws and income tax rates applicable to the underlying item in its corresponding tax jurisdiction.</w:t>
      </w:r>
    </w:p>
    <w:tbl>
      <w:tblPr>
        <w:tblW w:w="10205" w:type="dxa"/>
        <w:jc w:val="center"/>
        <w:tblInd w:w="0" w:type="dxa"/>
        <w:tblLayout w:type="fixed"/>
        <w:tblCellMar>
          <w:top w:w="28" w:type="dxa"/>
          <w:left w:w="28" w:type="dxa"/>
          <w:bottom w:w="28" w:type="dxa"/>
          <w:right w:w="28" w:type="dxa"/>
        </w:tblCellMar>
      </w:tblPr>
      <w:tblGrid>
        <w:gridCol w:w="1422"/>
        <w:gridCol w:w="855"/>
        <w:gridCol w:w="861"/>
        <w:gridCol w:w="215"/>
        <w:gridCol w:w="538"/>
        <w:gridCol w:w="111"/>
        <w:gridCol w:w="109"/>
        <w:gridCol w:w="109"/>
        <w:gridCol w:w="109"/>
        <w:gridCol w:w="216"/>
        <w:gridCol w:w="524"/>
        <w:gridCol w:w="111"/>
        <w:gridCol w:w="109"/>
        <w:gridCol w:w="109"/>
        <w:gridCol w:w="109"/>
        <w:gridCol w:w="240"/>
        <w:gridCol w:w="241"/>
        <w:gridCol w:w="437"/>
        <w:gridCol w:w="109"/>
        <w:gridCol w:w="109"/>
        <w:gridCol w:w="109"/>
        <w:gridCol w:w="215"/>
        <w:gridCol w:w="538"/>
        <w:gridCol w:w="111"/>
        <w:gridCol w:w="109"/>
        <w:gridCol w:w="109"/>
        <w:gridCol w:w="109"/>
        <w:gridCol w:w="216"/>
        <w:gridCol w:w="524"/>
        <w:gridCol w:w="111"/>
        <w:gridCol w:w="109"/>
        <w:gridCol w:w="109"/>
        <w:gridCol w:w="109"/>
        <w:gridCol w:w="188"/>
        <w:gridCol w:w="188"/>
        <w:gridCol w:w="437"/>
        <w:gridCol w:w="109"/>
        <w:gridCol w:w="162"/>
      </w:tblGrid>
      <w:tr>
        <w:trPr/>
        <w:tc>
          <w:tcPr>
            <w:tcW w:w="142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PepsiCo per common share – diluted, GAAP measure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Mark-to-market net impact</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charges/credits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retiree medical-related impact</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net income attributable to PepsiCo per common share – diluted, non-GAAP measure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Impact of foreign exchange translation</w:t>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core net income attributable to PepsiCo per common share – diluted, on a constant currency basis, non-GAAP measure</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(a)Does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Mark-to-Market Net Impact</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centrally manage commodity derivatives on behalf of our segments.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segment results when the segments recognize the cost of the underlying commodity in operating profit. Therefore, the segments realize the economic effects of the derivative without experiencing any resulting mark-to-market volatility, which remains in corporate unallocated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Restructuring and Impairment Charges</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2019 Multi-Year Productivity Plan</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The 2019 Productivity Plan </w:t>
      </w:r>
      <w:r>
        <w:rPr>
          <w:rFonts w:ascii="Times New Roman;serif" w:hAnsi="Times New Roman;serif"/>
          <w:b w:val="false"/>
          <w:color w:val="000000"/>
          <w:sz w:val="24"/>
        </w:rPr>
        <w:t xml:space="preserve">leverages new technology and business models to further simplify, harmonize and automate processes; re-engineers our go-to-market and information systems, </w:t>
      </w:r>
      <w:r>
        <w:rPr>
          <w:rFonts w:ascii="Times New Roman;serif" w:hAnsi="Times New Roman;serif"/>
          <w:b w:val="false"/>
          <w:color w:val="000000"/>
          <w:sz w:val="24"/>
          <w:shd w:fill="FFFFFF" w:val="clear"/>
        </w:rPr>
        <w:t>including deploying the</w:t>
      </w:r>
      <w:r>
        <w:rPr>
          <w:color w:val="000000"/>
        </w:rPr>
        <w:t xml:space="preserve"> </w:t>
      </w:r>
      <w:r>
        <w:rPr>
          <w:rFonts w:ascii="Times New Roman;serif" w:hAnsi="Times New Roman;serif"/>
          <w:b w:val="false"/>
          <w:color w:val="000000"/>
          <w:sz w:val="24"/>
        </w:rPr>
        <w:t>right automation for each market; and simplifies our organization and optimizes our manufacturing and supply chain footprint.</w:t>
      </w:r>
      <w:r>
        <w:rPr>
          <w:color w:val="000000"/>
          <w:shd w:fill="FFFFFF" w:val="clear"/>
        </w:rPr>
        <w:t xml:space="preserve"> </w:t>
      </w:r>
      <w:r>
        <w:rPr>
          <w:rFonts w:ascii="Times New Roman;serif" w:hAnsi="Times New Roman;serif"/>
          <w:b w:val="false"/>
          <w:color w:val="000000"/>
          <w:sz w:val="24"/>
        </w:rPr>
        <w:t>To build on the successful implementation of the 2019 Productivity Plan, in 2024, we further expanded and extended the plan through the end of 2030 to take advantage of additional opportunities within the initiatives described above. As a result, we expect to incur pre-tax charges of approximately $6.15 billion, including cash expenditures of approximately $5.1 billion. Plan-to-date through June 13, 2026, we have incurred pre-tax charges of $3.8 billion, including cash expenditures of $3.0 billion. We expect to incur the majority of the remaining pre-tax charges and cash expenditures through 2027, with the balance to be incurred through 2030. Charges include severance and other employee costs, asset impairments and other costs.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See Note 3 to our condensed consolidated financial statements in this Form 10-Q, as well as Note 3 to our consolidated financial statements in our 2025 Form 10-K, for further information related to our 2019 Productivity Plan.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regularly evaluate productivity initiatives beyond the productivity plan and other initiatives discussed above and in Note 3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Acquisition and Divestiture-Related Charges/Credits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Acquisition and divestiture-related charges/credits include merger and integration charges, transaction expenses, such as consulting, advisory and other professional fees, as well as fair value adjustments to contingent consideration. Merger and integration charges include distribution agreement termination fees, employee-related costs, closing costs and other integration costs.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Note 11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Impairment and Other Charges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recognized charges related to the impairments of the Rockstar and Be &amp; Cheery brands.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Notes 1 and 4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Pension and Retiree Medical-Related Impact</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Pension and retiree medical-related impact includes curtailment gains.</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See Note </w:t>
      </w:r>
      <w:r>
        <w:rPr>
          <w:rFonts w:ascii="Times New Roman;serif" w:hAnsi="Times New Roman;serif"/>
          <w:b w:val="false"/>
          <w:color w:val="000000"/>
          <w:sz w:val="24"/>
        </w:rPr>
        <w:t>6</w:t>
      </w:r>
      <w:r>
        <w:rPr>
          <w:color w:val="000000"/>
          <w:shd w:fill="FFFFFF" w:val="clear"/>
        </w:rPr>
        <w:t xml:space="preserve"> </w:t>
      </w:r>
      <w:r>
        <w:rPr>
          <w:rFonts w:ascii="Times New Roman;serif" w:hAnsi="Times New Roman;serif"/>
          <w:b w:val="false"/>
          <w:color w:val="000000"/>
          <w:sz w:val="24"/>
          <w:shd w:fill="FFFFFF" w:val="clear"/>
        </w:rPr>
        <w:t>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Our Liquidity and Capital Resources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believe that our cash generating capability and financial condition, together with our revolving credit facilities, working capital lines and other available methods of debt financing, such as commercial paper borrowings and long-term debt financing, will be adequate to meet our operating, investing and financing needs, including with respect to our net capital spending plans. Our primary sources of liquidity include cash from operations, proceeds obtained from issuances of commercial paper and long-term debt, and cash and cash equivalents. These sources of cash are available to fund cash outflows that have both a short- and long-term component, including debt repayments and related interest payments; payments for acquisitions; operating leases; purchase, marketing, and other contractual commitments, including capital expenditures. In addition, these sources of cash fund other cash outflows including anticipated dividend payments and share repurchases. We do not have guarantees or off-balance sheet financing arrangements, including variable interest entities, that we believe could have a material impact on our liquidity. See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Risks” and Note 7 to our condensed consolidated financial statements included in this Form 10-Q, as well as “Item 1A. Risk Factors,” “Item 7. Management’s Discussion and Analysis of Financial Condition and Results of Operations – Our Business Risks” and Note 8 to our consolidated financial statements included in our 2025 Form 10-K for further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As of June 13, 2026, cash, cash equivalents and short-term investments in our consolidated subsidiaries outside of Russia that are subject to currency controls or currency exchange restrictions were not material. </w:t>
      </w:r>
      <w:bookmarkStart w:id="19" w:name="i786d80a359a645349ca37636330fa6ae_2974"/>
      <w:bookmarkEnd w:id="19"/>
      <w:r>
        <w:rPr>
          <w:rFonts w:ascii="Times New Roman;serif" w:hAnsi="Times New Roman;serif"/>
          <w:b w:val="false"/>
          <w:color w:val="000000"/>
          <w:sz w:val="24"/>
        </w:rPr>
        <w:t xml:space="preserve">As of June 13, 2026, </w:t>
      </w:r>
      <w:bookmarkStart w:id="20" w:name="i786d80a359a645349ca37636330fa6ae_3303"/>
      <w:bookmarkEnd w:id="20"/>
      <w:r>
        <w:rPr>
          <w:rFonts w:ascii="Times New Roman;serif" w:hAnsi="Times New Roman;serif"/>
          <w:b w:val="false"/>
          <w:color w:val="000000"/>
          <w:sz w:val="24"/>
        </w:rPr>
        <w:t>Russia accounted for 21% of our consolidated cash and cash equivalents. Our sources and uses of cash were not materially adversely impacted by the cash and cash equivalents held in Russia and, to date, we have not identified any material impact on our liquidity or capital resources as a result of these amounts. See “Our Business Risks” for further information on our operations in Russia.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TCJ Act imposed a one-time mandatory transition tax on undistributed international earnings. As of June 13, 2026, our final mandatory transition tax liability of $965 million has been paid. See “Our Liquidity and Capital Resources” and Note 5 to our consolidated financial statements included in our 2025 Form 10-K for further discussion of the TCJ Act. </w:t>
      </w:r>
    </w:p>
    <w:p>
      <w:pPr>
        <w:pStyle w:val="TextBody"/>
        <w:bidi w:val="0"/>
        <w:spacing w:lineRule="auto" w:line="288" w:before="120" w:after="120"/>
        <w:jc w:val="both"/>
        <w:rPr/>
      </w:pPr>
      <w:r>
        <w:rPr>
          <w:rFonts w:ascii="Times New Roman;serif" w:hAnsi="Times New Roman;serif"/>
          <w:b w:val="false"/>
          <w:color w:val="000000"/>
          <w:sz w:val="24"/>
        </w:rPr>
        <w:t xml:space="preserve">Supply chain financing arrangements did not have a material impact on our liquidity or capital resources in the periods presented and we do not expect such arrangements to have a material impact on our liquidity or capital resources for the foreseeable future. See Note </w:t>
      </w:r>
      <w:r>
        <w:rPr>
          <w:rFonts w:ascii="Times New Roman;serif" w:hAnsi="Times New Roman;serif"/>
          <w:b w:val="false"/>
          <w:color w:val="000000"/>
          <w:sz w:val="24"/>
          <w:shd w:fill="FFFFFF" w:val="clear"/>
        </w:rPr>
        <w:t>12</w:t>
      </w:r>
      <w:r>
        <w:rPr>
          <w:color w:val="000000"/>
        </w:rPr>
        <w:t xml:space="preserve"> </w:t>
      </w:r>
      <w:r>
        <w:rPr>
          <w:rFonts w:ascii="Times New Roman;serif" w:hAnsi="Times New Roman;serif"/>
          <w:b w:val="false"/>
          <w:color w:val="000000"/>
          <w:sz w:val="24"/>
        </w:rPr>
        <w:t>to our condensed consolidated financial statements for further discussion of supply chain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Operating Activities</w:t>
      </w:r>
    </w:p>
    <w:p>
      <w:pPr>
        <w:pStyle w:val="TextBody"/>
        <w:bidi w:val="0"/>
        <w:spacing w:lineRule="auto" w:line="288" w:before="120" w:after="120"/>
        <w:jc w:val="both"/>
        <w:rPr/>
      </w:pPr>
      <w:r>
        <w:rPr>
          <w:rFonts w:ascii="Times New Roman;serif" w:hAnsi="Times New Roman;serif"/>
          <w:b w:val="false"/>
          <w:color w:val="000000"/>
          <w:sz w:val="24"/>
        </w:rPr>
        <w:t>During the 24 weeks ended June 13, 2026, net cash provided by operating activities was $2.4 billion, compared to net cash provided by operating activities of $1.0 billion in the prior-year period. The increase</w:t>
      </w:r>
      <w:r>
        <w:rPr>
          <w:color w:val="000000"/>
          <w:shd w:fill="FFFFFF" w:val="clear"/>
        </w:rPr>
        <w:t xml:space="preserve"> </w:t>
      </w:r>
      <w:r>
        <w:rPr>
          <w:rFonts w:ascii="Times New Roman;serif" w:hAnsi="Times New Roman;serif"/>
          <w:b w:val="false"/>
          <w:color w:val="000000"/>
          <w:sz w:val="24"/>
        </w:rPr>
        <w:t>in operating cash flow primarily reflects favorable operating profit performance and favorable working capital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Investing Activities</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During the 24 weeks ended June 13, 2026, net cash used for investing activities was </w:t>
      </w:r>
      <w:r>
        <w:rPr>
          <w:rFonts w:ascii="Times New Roman;serif" w:hAnsi="Times New Roman;serif"/>
          <w:b w:val="false"/>
          <w:color w:val="000000"/>
          <w:sz w:val="24"/>
        </w:rPr>
        <w:t>$1.4 billion</w:t>
      </w:r>
      <w:r>
        <w:rPr>
          <w:rFonts w:ascii="Times New Roman;serif" w:hAnsi="Times New Roman;serif"/>
          <w:b w:val="false"/>
          <w:color w:val="000000"/>
          <w:sz w:val="24"/>
          <w:shd w:fill="FFFFFF" w:val="clear"/>
        </w:rPr>
        <w:t xml:space="preserve">, primarily reflecting net capital spending of </w:t>
      </w:r>
      <w:r>
        <w:rPr>
          <w:rFonts w:ascii="Times New Roman;serif" w:hAnsi="Times New Roman;serif"/>
          <w:b w:val="false"/>
          <w:color w:val="000000"/>
          <w:sz w:val="24"/>
        </w:rPr>
        <w:t>$1.2 billion.</w:t>
      </w:r>
    </w:p>
    <w:p>
      <w:pPr>
        <w:pStyle w:val="TextBody"/>
        <w:bidi w:val="0"/>
        <w:spacing w:lineRule="auto" w:line="288" w:before="120" w:after="120"/>
        <w:jc w:val="both"/>
        <w:rPr/>
      </w:pPr>
      <w:r>
        <w:rPr>
          <w:rFonts w:ascii="Times New Roman;serif" w:hAnsi="Times New Roman;serif"/>
          <w:b w:val="false"/>
          <w:color w:val="000000"/>
          <w:sz w:val="24"/>
          <w:shd w:fill="FFFFFF" w:val="clear"/>
        </w:rPr>
        <w:t>We regularly review our plans with respect to ne</w:t>
      </w:r>
      <w:r>
        <w:rPr>
          <w:rFonts w:ascii="Times New Roman;serif" w:hAnsi="Times New Roman;serif"/>
          <w:b w:val="false"/>
          <w:color w:val="000000"/>
          <w:sz w:val="24"/>
        </w:rPr>
        <w:t>t capital spending and believe that we have sufficient liquidity to meet our net capital spending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Financing Activities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24 weeks ended June 13, 2026, net cash used for financing activities was $0.1 billion, primarily reflecting the return of operating cash flow to our shareholders through dividend payments and share repurchases of $4.4 billion and payments of long-term debt borrowings of $2.2 billion, offset by net proceeds of short-term borrowings of $3.5 billion and proceeds from the issuances of long-term debt of $3.0 billion.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annually review our capital structure with our Board of Directors, including our dividend policy and share repurchase activity. On February 3, 2026, we announced a new share repurchase program providing for the repurchase of up to $10 billion of PepsiCo common stock which commenced on February 1, 2026 and will expire on February 28, 2030. In addition, on February 3, 2026, we announced a 4% increase in our annualized dividend to $5.92 per share from $5.69 per share, effective with the dividend paid in June 2026. We expect to return a total of approximately $8.9 billion to shareholders in 2026, comprising dividends of approximately $7.9 billion and share repurchases of approximately $1.0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 xml:space="preserve">Free Cash Flow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table below reconciles net cash provided by operating activities, as reflected on our cash flow statement, to our free cash flow. Free cash flow is a non-GAAP financial measure. For further information on free cash flow, see “Non-GAAP Measures.”</w:t>
      </w:r>
    </w:p>
    <w:tbl>
      <w:tblPr>
        <w:tblW w:w="7279" w:type="dxa"/>
        <w:jc w:val="left"/>
        <w:tblInd w:w="0" w:type="dxa"/>
        <w:tblLayout w:type="fixed"/>
        <w:tblCellMar>
          <w:top w:w="28" w:type="dxa"/>
          <w:left w:w="28" w:type="dxa"/>
          <w:bottom w:w="28" w:type="dxa"/>
          <w:right w:w="28" w:type="dxa"/>
        </w:tblCellMar>
      </w:tblPr>
      <w:tblGrid>
        <w:gridCol w:w="1729"/>
        <w:gridCol w:w="1515"/>
        <w:gridCol w:w="1526"/>
        <w:gridCol w:w="213"/>
        <w:gridCol w:w="637"/>
        <w:gridCol w:w="110"/>
        <w:gridCol w:w="109"/>
        <w:gridCol w:w="109"/>
        <w:gridCol w:w="109"/>
        <w:gridCol w:w="235"/>
        <w:gridCol w:w="603"/>
        <w:gridCol w:w="121"/>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GAAP measure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spending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of property, plant and equipment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 measure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use free cash flow primarily for acquisitions and financing activities, including debt repayments, dividends and share repurchases. We expect to continue to return free cash flow to our shareholders primarily through dividends and share repurchases while maintaining Tier 1 commercial paper access, which we believe will facilitate appropriate financial flexibility and ready access to global capital and credit markets at favorable interest rates. See “Our Business Risks” included in this Form 10-Q, as well as “Item 1A. Risk Factors” and “Item 7. Management’s Discussion and Analysis of Financial Condition and Results of Operations – Our Business Risks,” included in our 2025 Form 10-K, for certain factors that may impact our credit ratings or our operating cash flows.</w:t>
      </w:r>
    </w:p>
    <w:p>
      <w:pPr>
        <w:pStyle w:val="TextBody"/>
        <w:bidi w:val="0"/>
        <w:spacing w:lineRule="auto" w:line="288" w:before="120" w:after="120"/>
        <w:jc w:val="both"/>
        <w:rPr/>
      </w:pPr>
      <w:r>
        <w:rPr>
          <w:rFonts w:ascii="Times New Roman;serif" w:hAnsi="Times New Roman;serif"/>
          <w:b w:val="false"/>
          <w:color w:val="000000"/>
          <w:sz w:val="24"/>
        </w:rPr>
        <w:t>Any downgrade of our credit ratings by a credit rating agency, especially any downgrade to below investment grade, whether or not as a result of our actions or factors which are beyond our control, could increase our future borrowing costs and impair our ability to access capital and credit markets on terms commercially acceptable to us, or at all. In addition, any downgrade of our current short-term credit ratings could impair our ability to access the commercial paper market with the same flexibility that we have experienced historically, and therefore require us to rely more heavily on more expensive types of debt financing. See Note</w:t>
      </w:r>
      <w:r>
        <w:rPr>
          <w:color w:val="000000"/>
        </w:rPr>
        <w:t xml:space="preserve"> </w:t>
      </w:r>
      <w:r>
        <w:rPr>
          <w:rFonts w:ascii="Times New Roman;serif" w:hAnsi="Times New Roman;serif"/>
          <w:b w:val="false"/>
          <w:color w:val="000000"/>
          <w:sz w:val="24"/>
        </w:rPr>
        <w:t>7 to our condensed consolidated financial statements and “Our Business Risks” included in this Form 10-Q, as well as “Item 1A. Risk Factors” and “Item 7. Management’s Discussion and Analysis of Financial Condition and Results of Operations – Our Business Risks” included in our 2025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260"/>
        <w:ind w:left="0" w:right="0" w:firstLine="72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To the Shareholders and Board of Directors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PepsiCo, Inc.:</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 xml:space="preserve">Results of Review of Interim Financial Information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have reviewed the Condensed Consolidated Balance Sheet of PepsiCo, Inc. and subsidiaries (the Company) as of June 13, 2026, the related Condensed Consolidated Statements of Income, Comprehensive Income, and Equity for the twelve and twenty-four weeks ended June 13, 2026 and June 14, 2025, the related Condensed Consolidated Statement of Cash Flows for the twenty-four weeks ended June 13, 2026 and June 14,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have previously audited, in accordance with the standards of the Public Company Accounting Oversight Board (United States) (PCAOB), the Consolidated Balance Sheet of the Company as of December 27, 2025, and the related Consolidated Statements of Income, Comprehensive Income, Cash Flows and Equity for the fiscal year then ended (not presented herein); and in our report dated February 2, 2026, we expressed an unqualified opinion on those consolidated financial statements. In our opinion, the information set forth in the accompanying Condensed Consolidated Balance Sheet as of December 27, 2025 is fairly stated, in all material respects, in relation to the Consolidated Balance Sheet from which it has been derived.</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Basis for Review 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/s/ KPMG LLP</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88" w:before="120" w:after="60"/>
        <w:jc w:val="both"/>
        <w:rPr>
          <w:rFonts w:ascii="Times New Roman;serif" w:hAnsi="Times New Roman;serif"/>
          <w:b w:val="false"/>
          <w:color w:val="000000"/>
          <w:sz w:val="24"/>
        </w:rPr>
      </w:pPr>
      <w:r>
        <w:rPr>
          <w:rFonts w:ascii="Times New Roman;serif" w:hAnsi="Times New Roman;serif"/>
          <w:b w:val="false"/>
          <w:color w:val="000000"/>
          <w:sz w:val="24"/>
        </w:rPr>
        <w:t>July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60" w:after="120"/>
        <w:jc w:val="both"/>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“Item 2. Management’s Discussion and Analysis of Financial Condition and Results of Operations – Our Business Risks.” In addition, see “Item 1A. Risk Factors,” “Item 7. Management’s Discussion and Analysis of Financial Condition and Results of Operations – Our Business Risks” and Note 9 to our consolidated financial statements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 xml:space="preserve">ITEM 4. Controls and Procedures.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Chief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Securities and Exchange Commission rules and forms, and (2) accumulated and communicated to our management, including our Chief Executive Officer and Chief Financial Officer, as appropriate, to allow timely decisions regarding required disclosure.</w:t>
      </w:r>
    </w:p>
    <w:p>
      <w:pPr>
        <w:pStyle w:val="TextBody"/>
        <w:bidi w:val="0"/>
        <w:spacing w:lineRule="auto" w:line="288" w:before="120" w:after="120"/>
        <w:jc w:val="both"/>
        <w:rPr/>
      </w:pPr>
      <w:r>
        <w:rPr>
          <w:rFonts w:ascii="Times New Roman;serif" w:hAnsi="Times New Roman;serif"/>
          <w:b w:val="false"/>
          <w:color w:val="000000"/>
          <w:sz w:val="24"/>
        </w:rPr>
        <w:t>During the 12 weeks ended June 13, 2026, we continued migrating certain of our financial processing systems to an Enterprise Resource Planning (ERP) solution. These systems implementations are part of our ongoing global business transformation initiative, and we plan to continue implementing such systems throughout other parts of our businesses in phases over the next several years. In connection with these ERP implementations, we are updating and will continue to update our internal control over financial reporting, as necessary, to accommodate modifications to our business processes and accounting procedures. During the 12 weeks ended June 13, 2026, we continued implementing these systems, resulting in changes that materially affected our internal control over financial reporting. These system implementations did not have an adverse effect, nor do we expect will have an adverse effect, on our internal control over financial reporting. In addition, in connection with our 2019 multi-year productivity plan, we continue</w:t>
      </w:r>
      <w:r>
        <w:rPr>
          <w:color w:val="000000"/>
        </w:rPr>
        <w:t xml:space="preserve"> </w:t>
      </w:r>
      <w:r>
        <w:rPr>
          <w:rFonts w:ascii="Times New Roman;serif" w:hAnsi="Times New Roman;serif"/>
          <w:b w:val="false"/>
          <w:color w:val="000000"/>
          <w:sz w:val="24"/>
        </w:rPr>
        <w:t>to migrate to shared business models across our operations to further simplify, harmonize and automate processes. In connection with our 2019 multi-year productivity plan and resulting organization and business process changes, we continue to enhance the design and documentation of our internal control over financial reporting processes, to maintain effective controls over our financial reporting. These changes have not materially affected, and we do not expect them to materially affect, our internal control over financial reporting.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Except with respect to the continued implementation of ERP systems, there have been no changes in our internal control over financial reporting during the 12 weeks ended June 13, 2026 that have materially affected, or are reasonably likely to materially affect, our internal control over financial reporting. We will continue to assess the impact on our internal control over financial reporting as we continue to implement our ERP solution and our 2019 multi-year productivity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information should be read in conjunction with the discussion set forth under Part I, “Item 3. Legal Proceedings” in our 2025 Form 10-K and Part II, “Item 1. Legal Proceedings” in our Quarterly Report on Form 10-Q for the quarter ended March 21,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previously disclosed, on June 20, 2024, the Mayor and City Council of Baltimore, Maryland filed a lawsuit against PepsiCo, Inc., Frito-Lay, Inc., Frito-Lay North America, Inc., and several other unrelated parties (the Baltimore Matter). On July 21, 2025, the Circuit Court for Baltimore City, Maryland dismissed with prejudice all claims except for public nuisance. </w:t>
      </w:r>
      <w:bookmarkStart w:id="21" w:name="ib37cfee80dbc4f38982138040a76cd1c_8032"/>
      <w:bookmarkEnd w:id="21"/>
      <w:r>
        <w:rPr>
          <w:rFonts w:ascii="Times New Roman;serif" w:hAnsi="Times New Roman;serif"/>
          <w:b w:val="false"/>
          <w:color w:val="000000"/>
          <w:sz w:val="24"/>
        </w:rPr>
        <w:t>The court has scheduled oral argument on the public nuisance claim to take place during our fiscal quarter ending September 5, 2026. Please refer to Part I, “Item 3. Legal Proceedings” in our 2025 Form 10-K for additional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addition, we and our subsidiaries are party to a variety of litigation, claims, legal or regulatory proceedings, inquiries and investigations. While the results of the NYS Matter, Los Angeles Matter and USVI Matter (each, as defined in our 2025 Form 10-K), the Baltimore Matter and each such other litigation, claim, legal or regulatory proceeding, inquiry and investigation cannot be predicted with certainty, management believes that the final outcome of the foregoing is not expected to have a material adverse effect on our financial condition, results of operations or cash flows. See also “Item 1. Business – Regulatory Matters” and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There have been no material changes with respect to the risk factors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common stock repurchases (in millions, except average price per share) during the 12 weeks ended June 13, 2026 is set forth in the table below.</w:t>
      </w:r>
    </w:p>
    <w:p>
      <w:pPr>
        <w:pStyle w:val="TextBody"/>
        <w:bidi w:val="0"/>
        <w:spacing w:lineRule="auto" w:line="288" w:before="60" w:after="120"/>
        <w:jc w:val="center"/>
        <w:rPr>
          <w:rFonts w:ascii="Times New Roman;serif" w:hAnsi="Times New Roman;serif"/>
          <w:b/>
          <w:color w:val="000000"/>
          <w:sz w:val="24"/>
        </w:rPr>
      </w:pPr>
      <w:r>
        <w:rPr>
          <w:rFonts w:ascii="Times New Roman;serif" w:hAnsi="Times New Roman;serif"/>
          <w:b/>
          <w:color w:val="000000"/>
          <w:sz w:val="24"/>
        </w:rPr>
        <w:t xml:space="preserve">Issuer Purchases of Common Stock </w:t>
      </w:r>
    </w:p>
    <w:tbl>
      <w:tblPr>
        <w:tblW w:w="10205" w:type="dxa"/>
        <w:jc w:val="center"/>
        <w:tblInd w:w="0" w:type="dxa"/>
        <w:tblLayout w:type="fixed"/>
        <w:tblCellMar>
          <w:top w:w="28" w:type="dxa"/>
          <w:left w:w="28" w:type="dxa"/>
          <w:bottom w:w="28" w:type="dxa"/>
          <w:right w:w="28" w:type="dxa"/>
        </w:tblCellMar>
      </w:tblPr>
      <w:tblGrid>
        <w:gridCol w:w="599"/>
        <w:gridCol w:w="526"/>
        <w:gridCol w:w="530"/>
        <w:gridCol w:w="109"/>
        <w:gridCol w:w="109"/>
        <w:gridCol w:w="109"/>
        <w:gridCol w:w="523"/>
        <w:gridCol w:w="523"/>
        <w:gridCol w:w="524"/>
        <w:gridCol w:w="109"/>
        <w:gridCol w:w="109"/>
        <w:gridCol w:w="109"/>
        <w:gridCol w:w="321"/>
        <w:gridCol w:w="1174"/>
        <w:gridCol w:w="156"/>
        <w:gridCol w:w="109"/>
        <w:gridCol w:w="109"/>
        <w:gridCol w:w="109"/>
        <w:gridCol w:w="565"/>
        <w:gridCol w:w="565"/>
        <w:gridCol w:w="566"/>
        <w:gridCol w:w="109"/>
        <w:gridCol w:w="109"/>
        <w:gridCol w:w="109"/>
        <w:gridCol w:w="481"/>
        <w:gridCol w:w="1508"/>
        <w:gridCol w:w="336"/>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Total</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Number of</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Shares</w:t>
            </w:r>
          </w:p>
          <w:p>
            <w:pPr>
              <w:pStyle w:val="TableContents"/>
              <w:bidi w:val="0"/>
              <w:spacing w:lineRule="auto" w:line="240" w:before="0" w:after="0"/>
              <w:jc w:val="center"/>
              <w:rPr/>
            </w:pPr>
            <w:r>
              <w:rPr>
                <w:rFonts w:ascii="Times New Roman;serif" w:hAnsi="Times New Roman;serif"/>
                <w:b/>
                <w:color w:val="000000"/>
                <w:sz w:val="24"/>
              </w:rPr>
              <w:t>Repurchased</w:t>
            </w: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Total Number</w:t>
              <w:br/>
              <w:t>of Shares</w:t>
              <w:br/>
              <w:t>Purchased as</w:t>
              <w:br/>
              <w:t>Part of Publicly</w:t>
              <w:br/>
              <w:t>Announced</w:t>
              <w:br/>
              <w:t>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Approximate</w:t>
              <w:br/>
              <w:t>Dollar Value of</w:t>
              <w:br/>
              <w:t>Shares That May Yet Be</w:t>
              <w:br/>
              <w:t>Purchased</w:t>
              <w:br/>
              <w:t>Under the Plans</w:t>
              <w:br/>
              <w:t>or Programs</w:t>
            </w:r>
          </w:p>
        </w:tc>
      </w:tr>
      <w:tr>
        <w:trPr/>
        <w:tc>
          <w:tcPr>
            <w:tcW w:w="1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9,807 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3/22/2026 - 4/18/2026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0.5 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9,720 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4/19/2026 - 5/16/2026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9,629 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5/17/2026 - 6/13/2026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0.8 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0.8 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1.9</w:t>
            </w:r>
            <w:r>
              <w:rPr>
                <w:color w:val="000000"/>
              </w:rPr>
              <w:t> </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150.52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1.9</w:t>
            </w:r>
            <w:r>
              <w:rPr>
                <w:color w:val="000000"/>
              </w:rPr>
              <w:t>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9,518</w:t>
            </w:r>
            <w:r>
              <w:rPr>
                <w:color w:val="000000"/>
              </w:rPr>
              <w:t>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shares were repurchased in open market transactions pursuant to the $10 billion repurchase program authorized by our Board and publicly announced on February 3, 2026, which commenced on February 1, 2026 and will expire on February 28, 2030. Shares repurchased under this program may be repurchased in open market transactions, in privately negotiated transactions, in accelerated stock repurchase transactions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12 weeks ended June 13, 2026, none of our directors or executive officers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ITEM 6. Exhibits.</w:t>
      </w:r>
    </w:p>
    <w:tbl>
      <w:tblPr>
        <w:tblW w:w="3569" w:type="dxa"/>
        <w:jc w:val="left"/>
        <w:tblInd w:w="0" w:type="dxa"/>
        <w:tblLayout w:type="fixed"/>
        <w:tblCellMar>
          <w:top w:w="28" w:type="dxa"/>
          <w:left w:w="28" w:type="dxa"/>
          <w:bottom w:w="28" w:type="dxa"/>
          <w:right w:w="28" w:type="dxa"/>
        </w:tblCellMar>
      </w:tblPr>
      <w:tblGrid>
        <w:gridCol w:w="1141"/>
        <w:gridCol w:w="1005"/>
        <w:gridCol w:w="1423"/>
      </w:tblGrid>
      <w:tr>
        <w:trPr/>
        <w:tc>
          <w:tcPr>
            <w:tcW w:w="114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100" w:after="283"/>
              <w:jc w:val="both"/>
              <w:rPr/>
            </w:pPr>
            <w:r>
              <w:rPr>
                <w:rFonts w:ascii="Times New Roman;serif" w:hAnsi="Times New Roman;serif"/>
                <w:b w:val="false"/>
                <w:color w:val="000000"/>
                <w:sz w:val="24"/>
              </w:rPr>
              <w:t xml:space="preserve">See “Index to Exhibits” on page </w:t>
            </w:r>
            <w:hyperlink w:anchor="i7b2f326cd8aa4e46bb42b0652e9e8463_265">
              <w:r>
                <w:rPr>
                  <w:rStyle w:val="InternetLink"/>
                  <w:rFonts w:ascii="Times New Roman;serif" w:hAnsi="Times New Roman;serif"/>
                  <w:b w:val="false"/>
                  <w:color w:val="0000FF"/>
                  <w:sz w:val="24"/>
                  <w:u w:val="single"/>
                </w:rPr>
                <w:t>51</w:t>
              </w:r>
            </w:hyperlink>
            <w:r>
              <w:rPr>
                <w:rFonts w:ascii="Times New Roman;serif" w:hAnsi="Times New Roman;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INDEX TO EXHIBITS</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ITEM 6</w:t>
      </w:r>
    </w:p>
    <w:tbl>
      <w:tblPr>
        <w:tblW w:w="10205" w:type="dxa"/>
        <w:jc w:val="center"/>
        <w:tblInd w:w="0" w:type="dxa"/>
        <w:tblLayout w:type="fixed"/>
        <w:tblCellMar>
          <w:top w:w="28" w:type="dxa"/>
          <w:left w:w="28" w:type="dxa"/>
          <w:bottom w:w="28" w:type="dxa"/>
          <w:right w:w="28" w:type="dxa"/>
        </w:tblCellMar>
      </w:tblPr>
      <w:tblGrid>
        <w:gridCol w:w="426"/>
        <w:gridCol w:w="374"/>
        <w:gridCol w:w="375"/>
        <w:gridCol w:w="2784"/>
        <w:gridCol w:w="2580"/>
        <w:gridCol w:w="3666"/>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EXHIBIT</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4"/>
                  <w:u w:val="single"/>
                </w:rPr>
                <w:t>Exhibit 3.1</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4"/>
                  <w:u w:val="single"/>
                </w:rPr>
                <w:t>Amended and Restated Articles of Incorporation of PepsiCo, Inc., effective as of May 1, 2019, which are incorporated herein by reference to Exhibit 3.1 to PepsiCo, Inc.’s Current Report on Form 8-K filed with the Securities and Exchange Commission on May 3, 2019.</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4"/>
                  <w:u w:val="single"/>
                </w:rPr>
                <w:t>Exhibit 3.2</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4"/>
                  <w:u w:val="single"/>
                </w:rPr>
                <w:t>By-Laws of PepsiCo, Inc., as amended and restated, effective as of September 20, 2024, which are incorporated herein by reference to Exhibit 3.2 to PepsiCo, Inc.’s Current Report on Form 8-K filed with the Securities and Exchange Commission on September 20, 2024.</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q22026.htm">
              <w:r>
                <w:rPr>
                  <w:rStyle w:val="InternetLink"/>
                  <w:rFonts w:ascii="Times New Roman;serif" w:hAnsi="Times New Roman;serif"/>
                  <w:b w:val="false"/>
                  <w:color w:val="0000FF"/>
                  <w:sz w:val="24"/>
                  <w:u w:val="single"/>
                </w:rPr>
                <w:t>Exhibit 15</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q22026.htm">
              <w:r>
                <w:rPr>
                  <w:rStyle w:val="InternetLink"/>
                  <w:rFonts w:ascii="Times New Roman;serif" w:hAnsi="Times New Roman;serif"/>
                  <w:b w:val="false"/>
                  <w:color w:val="0000FF"/>
                  <w:sz w:val="24"/>
                  <w:u w:val="single"/>
                </w:rPr>
                <w:t>Letter re: Unaudited Interim Financial Information.</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2-q22026.htm">
              <w:r>
                <w:rPr>
                  <w:rStyle w:val="InternetLink"/>
                  <w:rFonts w:ascii="Times New Roman;serif" w:hAnsi="Times New Roman;serif"/>
                  <w:b w:val="false"/>
                  <w:color w:val="0000FF"/>
                  <w:sz w:val="24"/>
                  <w:u w:val="single"/>
                </w:rPr>
                <w:t>Exhibit 22</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2-q22026.htm">
              <w:r>
                <w:rPr>
                  <w:rStyle w:val="InternetLink"/>
                  <w:rFonts w:ascii="Times New Roman;serif" w:hAnsi="Times New Roman;serif"/>
                  <w:b w:val="false"/>
                  <w:color w:val="0000FF"/>
                  <w:sz w:val="24"/>
                  <w:u w:val="single"/>
                </w:rPr>
                <w:t>Subsidiary Issuer of Guaranteed Securities.</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q22026.htm">
              <w:r>
                <w:rPr>
                  <w:rStyle w:val="InternetLink"/>
                  <w:rFonts w:ascii="Times New Roman;serif" w:hAnsi="Times New Roman;serif"/>
                  <w:b w:val="false"/>
                  <w:color w:val="0000FF"/>
                  <w:sz w:val="24"/>
                  <w:u w:val="single"/>
                </w:rPr>
                <w:t>Exhibit 31</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q22026.htm">
              <w:r>
                <w:rPr>
                  <w:rStyle w:val="InternetLink"/>
                  <w:rFonts w:ascii="Times New Roman;serif" w:hAnsi="Times New Roman;serif"/>
                  <w:b w:val="false"/>
                  <w:color w:val="0000FF"/>
                  <w:sz w:val="24"/>
                  <w:u w:val="single"/>
                </w:rPr>
                <w:t>Certifications of Chief Executive Officer and Chief Financial Officer pursuant to Section 302 of the Sarbanes-Oxley Act of 2002.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q22026.htm">
              <w:r>
                <w:rPr>
                  <w:rStyle w:val="InternetLink"/>
                  <w:rFonts w:ascii="Times New Roman;serif" w:hAnsi="Times New Roman;serif"/>
                  <w:b w:val="false"/>
                  <w:color w:val="0000FF"/>
                  <w:sz w:val="24"/>
                  <w:u w:val="single"/>
                </w:rPr>
                <w:t>Exhibit 32</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q22026.htm">
              <w:r>
                <w:rPr>
                  <w:rStyle w:val="InternetLink"/>
                  <w:rFonts w:ascii="Times New Roman;serif" w:hAnsi="Times New Roman;serif"/>
                  <w:b w:val="false"/>
                  <w:color w:val="0000FF"/>
                  <w:sz w:val="24"/>
                  <w:u w:val="single"/>
                </w:rPr>
                <w:t>Certifications of Chief Executive Officer and Chief Financial Officer pursuant to Section 906 of the Sarbanes-Oxley Act of 2002.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4"/>
                  <w:u w:val="single"/>
                </w:rPr>
                <w:t>Exhibit 99.1</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4"/>
                  <w:u w:val="single"/>
                </w:rPr>
                <w:t>364-Day Credit Agreement, dated as of May 22, 2026, among PepsiCo, as borrower, the lenders named therein, and Citibank, N.A., as administrative agent, which is incorporated by reference to Exhibit 99.1 to PepsiCo, Inc.’s Current Report on Form 8-K filed with the Securities and Exchange Commission on May 22, 2026.</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4"/>
                  <w:u w:val="single"/>
                </w:rPr>
                <w:t>Exhibit 99.2</w:t>
              </w:r>
            </w:hyperlink>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4"/>
                  <w:u w:val="single"/>
                </w:rPr>
                <w:t>Five-Year Credit Agreement, dated as of May 22, 2026, among PepsiCo, as borrower, the lenders named therein, and Citibank, N.A., as administrative agent, which is incorporated by reference to Exhibit 99.2 to PepsiCo, Inc.’s Current Report on Form 8-K filed with the Securities and Exchange Commission on May 22, 2026.</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101</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following materials from PepsiCo, Inc.’s Quarterly Report on Form 10-Q for the quarter ended June 13, 2026 formatted in iXBRL (Inline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Equity, and (vi) Notes to the Condensed Consolidated Financial Statements.</w:t>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104</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cover page from the Company’s Quarterly Report on Form 10-Q for the quarter ended June 13, 2026, formatted in iXBRL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120"/>
        <w:jc w:val="left"/>
        <w:rPr/>
      </w:pPr>
      <w:hyperlink w:anchor="i7b2f326cd8aa4e46bb42b0652e9e846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120"/>
        <w:jc w:val="left"/>
        <w:rPr>
          <w:color w:val="000000"/>
        </w:rPr>
      </w:pPr>
      <w:r>
        <w:rPr>
          <w:color w:val="000000"/>
        </w:rPr>
        <w:t> </w:t>
      </w:r>
    </w:p>
    <w:tbl>
      <w:tblPr>
        <w:tblW w:w="8831" w:type="dxa"/>
        <w:jc w:val="left"/>
        <w:tblInd w:w="0" w:type="dxa"/>
        <w:tblLayout w:type="fixed"/>
        <w:tblCellMar>
          <w:top w:w="28" w:type="dxa"/>
          <w:left w:w="28" w:type="dxa"/>
          <w:bottom w:w="28" w:type="dxa"/>
          <w:right w:w="28" w:type="dxa"/>
        </w:tblCellMar>
      </w:tblPr>
      <w:tblGrid>
        <w:gridCol w:w="228"/>
        <w:gridCol w:w="200"/>
        <w:gridCol w:w="202"/>
        <w:gridCol w:w="424"/>
        <w:gridCol w:w="424"/>
        <w:gridCol w:w="427"/>
        <w:gridCol w:w="2183"/>
        <w:gridCol w:w="2183"/>
        <w:gridCol w:w="2188"/>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        </w:t>
            </w:r>
            <w:r>
              <w:rPr>
                <w:color w:val="000000"/>
                <w:u w:val="single"/>
              </w:rPr>
              <w:t>    </w:t>
            </w:r>
            <w:r>
              <w:rPr>
                <w:rFonts w:ascii="Times New Roman;serif" w:hAnsi="Times New Roman;serif"/>
                <w:b w:val="false"/>
                <w:color w:val="000000"/>
                <w:sz w:val="24"/>
                <w:u w:val="single"/>
              </w:rPr>
              <w:t>PepsiCo,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July 8, 2026</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Christine E. Tammara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Christine E. Tammara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July 8, 2026</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David Flavell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David Flavell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General Counsel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(Duly 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Accountant’s Acknowledgement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 the Shareholders and Board of Directors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PepsiCo,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hereby acknowledge our awareness of the use of our report dated July 8, 2026 included within the Quarterly Report on Form 10-Q of PepsiCo, Inc. for the twelve and twenty-four weeks ended June 13, 2026, and incorporated by reference in the following Registration Statements and in the related Prospectuses: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u w:val="single"/>
        </w:rPr>
      </w:pPr>
      <w:r>
        <w:rPr>
          <w:rFonts w:ascii="Times New Roman;serif" w:hAnsi="Times New Roman;serif"/>
          <w:b/>
          <w:color w:val="000000"/>
          <w:sz w:val="18"/>
          <w:u w:val="single"/>
        </w:rPr>
        <w:t>Description, Registration Statement Number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Form S-3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Automatic Shelf Registration Statement, 333-277003</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18"/>
        </w:rPr>
        <w:t>PepsiAmericas, Inc. 2000 Stock Incentive Plan, 333-165176</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18"/>
        </w:rPr>
        <w:t>PBG 2004 Long Term Incentive Plan, PBG 2002 Long Term Incentive Plan, PBG Long Term Incentive Plan, The Pepsi Bottling Group, Inc. 1999 Long Term Incentive Plan and PBG Stock Incentive Plan, 333-165177</w:t>
      </w:r>
    </w:p>
    <w:p>
      <w:pPr>
        <w:pStyle w:val="TextBody"/>
        <w:bidi w:val="0"/>
        <w:spacing w:lineRule="auto" w:line="417" w:before="120" w:after="283"/>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Form S-8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PepsiCo Savings Plan, 333-76204, 333-76196, 333-150867 and 333-150868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2007 Long-Term Incentive Plan, 333-142811, 333-166740 and 333-279335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2003 Long-Term Incentive Plan, 333-109509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SharePower Stock Option Plan, 33-29037, 33-35602, 33-42058, 33-51496, 33-54731, 33-66150 and 333-109513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Director Stock Plan, 33-22970 and 333-110030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1979 Incentive Plan and the 1987 Incentive Plan, 33-19539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1994 Long-Term Incentive Plan, 33-54733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1995 Stock Option Incentive Plan, 33-61731, 333-09363 and 333-109514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1979 Incentive Plan, 2-65410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Long Term Savings Program, 2-82645, 33-51514 and 33-60965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401(k) Plan, 333-89265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Retirement Savings and Investment Plan for Union Employees of Tropicana Products, Inc. and Affiliates (Teamster Local Union #173) and the Retirement Savings and Investment Plan for Union Employees of Tropicana Products, Inc. and Affiliates, 333-65992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Quaker Long Term Incentive Plan of 1990, The Quaker Long Term Incentive Plan of 1999 and The Quaker Oats Company Stock Option Plan for Outside Directors, 333-66632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Quaker 401(k) Plan for Salaried Employees and The Quaker 401(k) Plan for Hourly Employees, 333-66634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PepsiCo Share Award Plan, 333-87526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PBG 401(k) Savings Program, PBG 401(k) Program, PepsiAmericas, Inc. Salaried 401(k) Plan and PepsiAmericas, Inc. Hourly 401(k) Plan, 333-165106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PBG 2004 Long Term Incentive Plan, PBG 2002 Long Term Incentive Plan, PBG Long Term Incentive Plan, The Pepsi Bottling Group, Inc. 1999 Long Term Incentive Plan, PBG Directors’ Stock Plan, PBG Stock Incentive Plan and PepsiAmericas, Inc. 2000 Stock Incentive Plan, 333-165107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 KPMG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New York, New York</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July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22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120" w:after="120"/>
        <w:jc w:val="center"/>
        <w:rPr>
          <w:rFonts w:ascii="Times New Roman;serif" w:hAnsi="Times New Roman;serif"/>
          <w:b/>
          <w:color w:val="000000"/>
          <w:sz w:val="24"/>
        </w:rPr>
      </w:pPr>
      <w:r>
        <w:rPr>
          <w:rFonts w:ascii="Times New Roman;serif" w:hAnsi="Times New Roman;serif"/>
          <w:b/>
          <w:color w:val="000000"/>
          <w:sz w:val="24"/>
        </w:rPr>
        <w:t>Subsidiary Issuer of Guaranteed Securities</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June 13, 2026, PepsiCo, Inc. fully and unconditionally guaranteed on a senior unsecured basis the following unsecured registered notes issued by PepsiCo Singapore Financing I Pte. Ltd., PepsiCo Inc.’s wholly-owned consolidated finance subsidiary incorporated as a private company limited by shares in the Republic of Singapore:</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1.Floating Rate Notes due 2027</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2.4.650% Senior Notes due 2027</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3.4.550% Senior Notes due 2029</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4.4.700% Senior Notes due 2034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31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CERTIFICATION </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color w:val="000000"/>
          <w:sz w:val="20"/>
        </w:rPr>
        <w:t xml:space="preserve">Ramon L. Laguarta, </w:t>
      </w:r>
      <w:r>
        <w:rPr>
          <w:rFonts w:ascii="Times New Roman;serif" w:hAnsi="Times New Roman;serif"/>
          <w:b w:val="false"/>
          <w:color w:val="000000"/>
          <w:sz w:val="20"/>
        </w:rPr>
        <w:t xml:space="preserve">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PepsiCo,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4935" w:type="dxa"/>
        <w:jc w:val="center"/>
        <w:tblInd w:w="0" w:type="dxa"/>
        <w:tblLayout w:type="fixed"/>
        <w:tblCellMar>
          <w:top w:w="28" w:type="dxa"/>
          <w:left w:w="28" w:type="dxa"/>
          <w:bottom w:w="28" w:type="dxa"/>
          <w:right w:w="28" w:type="dxa"/>
        </w:tblCellMar>
      </w:tblPr>
      <w:tblGrid>
        <w:gridCol w:w="580"/>
        <w:gridCol w:w="511"/>
        <w:gridCol w:w="514"/>
        <w:gridCol w:w="975"/>
        <w:gridCol w:w="975"/>
        <w:gridCol w:w="138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Ramon L. Laguarta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 L. Laguarta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 and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color w:val="000000"/>
          <w:sz w:val="22"/>
        </w:rPr>
        <w:t>Stephen T. Schmitt</w:t>
      </w:r>
      <w:r>
        <w:rPr>
          <w:rFonts w:ascii="Times New Roman;serif" w:hAnsi="Times New Roman;serif"/>
          <w:b/>
          <w:color w:val="000000"/>
          <w:sz w:val="20"/>
        </w:rPr>
        <w:t xml:space="preserve">, </w:t>
      </w:r>
      <w:r>
        <w:rPr>
          <w:rFonts w:ascii="Times New Roman;serif" w:hAnsi="Times New Roman;serif"/>
          <w:b w:val="false"/>
          <w:color w:val="000000"/>
          <w:sz w:val="20"/>
        </w:rPr>
        <w:t xml:space="preserve">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PepsiCo,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3615" w:type="dxa"/>
        <w:jc w:val="center"/>
        <w:tblInd w:w="0" w:type="dxa"/>
        <w:tblLayout w:type="fixed"/>
        <w:tblCellMar>
          <w:top w:w="28" w:type="dxa"/>
          <w:left w:w="28" w:type="dxa"/>
          <w:bottom w:w="28" w:type="dxa"/>
          <w:right w:w="28" w:type="dxa"/>
        </w:tblCellMar>
      </w:tblPr>
      <w:tblGrid>
        <w:gridCol w:w="580"/>
        <w:gridCol w:w="511"/>
        <w:gridCol w:w="514"/>
        <w:gridCol w:w="587"/>
        <w:gridCol w:w="587"/>
        <w:gridCol w:w="83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T. Schmitt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T. Schmitt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PepsiCo, Inc. (the “Corporation”) on Form 10-Q for the quarterly period ended June 13, 2026 as filed with the Securities and Exchange Commission on the date hereof (the “Report”), I, Ramon L. Laguarta, Chairman of the Board of Directors and Chief Executive Officer of the Corporation, certify to my knowledge, pursuant to Section 906 of the Sarbanes-Oxley Act of 2002 (18 U.S.C. Section 1350),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jc w:val="left"/>
        <w:rPr/>
      </w:pPr>
      <w:r>
        <w:rPr/>
      </w:r>
    </w:p>
    <w:tbl>
      <w:tblPr>
        <w:tblW w:w="4935" w:type="dxa"/>
        <w:jc w:val="center"/>
        <w:tblInd w:w="0" w:type="dxa"/>
        <w:tblLayout w:type="fixed"/>
        <w:tblCellMar>
          <w:top w:w="28" w:type="dxa"/>
          <w:left w:w="28" w:type="dxa"/>
          <w:bottom w:w="28" w:type="dxa"/>
          <w:right w:w="28" w:type="dxa"/>
        </w:tblCellMar>
      </w:tblPr>
      <w:tblGrid>
        <w:gridCol w:w="580"/>
        <w:gridCol w:w="511"/>
        <w:gridCol w:w="514"/>
        <w:gridCol w:w="975"/>
        <w:gridCol w:w="975"/>
        <w:gridCol w:w="138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Ramon L. Laguarta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 L. Laguarta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 and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PepsiCo, Inc. (the “Corporation”) on Form 10-Q for the quarterly period ended June 13, 2026 as filed with the Securities and Exchange Commission on the date hereof (the “Report”), I, Stephen T. Schmitt, Chief Financial Officer of the Corporation, certify to my knowledge, pursuant to Section 906 of the Sarbanes-Oxley Act of 2002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jc w:val="left"/>
        <w:rPr/>
      </w:pPr>
      <w:r>
        <w:rPr/>
      </w:r>
    </w:p>
    <w:tbl>
      <w:tblPr>
        <w:tblW w:w="3615" w:type="dxa"/>
        <w:jc w:val="center"/>
        <w:tblInd w:w="0" w:type="dxa"/>
        <w:tblLayout w:type="fixed"/>
        <w:tblCellMar>
          <w:top w:w="28" w:type="dxa"/>
          <w:left w:w="28" w:type="dxa"/>
          <w:bottom w:w="28" w:type="dxa"/>
          <w:right w:w="28" w:type="dxa"/>
        </w:tblCellMar>
      </w:tblPr>
      <w:tblGrid>
        <w:gridCol w:w="580"/>
        <w:gridCol w:w="511"/>
        <w:gridCol w:w="514"/>
        <w:gridCol w:w="587"/>
        <w:gridCol w:w="587"/>
        <w:gridCol w:w="83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T. Schmitt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T. Schmitt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7476/000007747619000046/exhibit31articlesofinc.htm" TargetMode="External"/><Relationship Id="rId4" Type="http://schemas.openxmlformats.org/officeDocument/2006/relationships/hyperlink" Target="https://www.sec.gov/Archives/edgar/data/77476/000007747619000046/exhibit31articlesofinc.htm" TargetMode="External"/><Relationship Id="rId5" Type="http://schemas.openxmlformats.org/officeDocument/2006/relationships/hyperlink" Target="https://www.sec.gov/Archives/edgar/data/77476/000007747624000046/pepsico-ex32xseptember2020.htm" TargetMode="External"/><Relationship Id="rId6" Type="http://schemas.openxmlformats.org/officeDocument/2006/relationships/hyperlink" Target="https://www.sec.gov/Archives/edgar/data/77476/000007747624000046/pepsico-ex32xseptember2020.htm" TargetMode="External"/><Relationship Id="rId7" Type="http://schemas.openxmlformats.org/officeDocument/2006/relationships/hyperlink" Target="https://www.sec.gov/Archives/edgar/data/77476/000110465926065758/tm2615167d1_ex99-1.htm" TargetMode="External"/><Relationship Id="rId8" Type="http://schemas.openxmlformats.org/officeDocument/2006/relationships/hyperlink" Target="https://www.sec.gov/Archives/edgar/data/77476/000110465926065758/tm2615167d1_ex99-1.htm" TargetMode="External"/><Relationship Id="rId9" Type="http://schemas.openxmlformats.org/officeDocument/2006/relationships/hyperlink" Target="https://www.sec.gov/Archives/edgar/data/77476/000110465926065758/tm2615167d1_ex99-2.htm" TargetMode="External"/><Relationship Id="rId10" Type="http://schemas.openxmlformats.org/officeDocument/2006/relationships/hyperlink" Target="https://www.sec.gov/Archives/edgar/data/77476/000110465926065758/tm2615167d1_ex99-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22812</Words>
  <Characters>125685</Characters>
  <CharactersWithSpaces>146284</CharactersWithSpaces>
  <Paragraphs>4525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