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638.xml.htm"/>
      <w:bookmarkStart w:id="1" w:name="kswkform4_17912306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Weisser Alberto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ANDERSON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PURCHASE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PEPSICO INC</w:t>
              </w:r>
            </w:hyperlink>
            <w:r>
              <w:rPr/>
              <w:t xml:space="preserve"> [ </w:t>
            </w:r>
            <w:r>
              <w:rPr>
                <w:rFonts w:ascii="Times;serif" w:hAnsi="Times;serif"/>
                <w:color w:val="0000FF"/>
                <w:sz w:val="24"/>
                <w:shd w:fill="FFFFFF" w:val="clear"/>
              </w:rPr>
              <w:t>PEP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1"/>
        <w:gridCol w:w="905"/>
        <w:gridCol w:w="777"/>
        <w:gridCol w:w="600"/>
        <w:gridCol w:w="333"/>
        <w:gridCol w:w="1283"/>
        <w:gridCol w:w="408"/>
        <w:gridCol w:w="733"/>
        <w:gridCol w:w="1419"/>
        <w:gridCol w:w="943"/>
        <w:gridCol w:w="9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1,336.0523</w:t>
            </w:r>
            <w:r>
              <w:rPr>
                <w:rFonts w:ascii="Times;serif" w:hAnsi="Times;serif"/>
                <w:color w:val="008000"/>
                <w:position w:val="7"/>
                <w:sz w:val="16"/>
                <w:sz w:val="20"/>
                <w:shd w:fill="FFFFFF" w:val="clear"/>
              </w:rPr>
              <w:t>(1)</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33,646.2205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1,592.3566</w:t>
            </w:r>
            <w:r>
              <w:rPr>
                <w:rFonts w:ascii="Times;serif" w:hAnsi="Times;serif"/>
                <w:color w:val="008000"/>
                <w:position w:val="7"/>
                <w:sz w:val="16"/>
                <w:sz w:val="20"/>
                <w:shd w:fill="FFFFFF" w:val="clear"/>
              </w:rPr>
              <w:t>(2)</w:t>
            </w:r>
          </w:p>
        </w:tc>
        <w:tc>
          <w:tcPr>
            <w:tcW w:w="4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125.6</w:t>
            </w:r>
          </w:p>
        </w:tc>
        <w:tc>
          <w:tcPr>
            <w:tcW w:w="14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35,238.5771</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number includes the phantom stock units acquired on various dates between October 1, 2025 and September 30, 2026 through reinvestment of dividend equivalents pursuant to the PepsiCo Director Deferral Program, at prices ranging from $126.72 to $155.29, payable in shares of PepsiCo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represents the filing person's phantom stock units received for service as a director that are payable in shares of PepsiCo Common Stock on a one-for-one basis commencing on the first day of the calendar quarter following the first anniversary of the filing person's retirement or resignation from PepsiCo's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Cynthia A. Nastanski,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6250" TargetMode="External"/><Relationship Id="rId5" Type="http://schemas.openxmlformats.org/officeDocument/2006/relationships/hyperlink" Target="http://www.sec.gov/cgi-bin/browse-edgar?action=getcompany&amp;CIK=000007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3720</Characters>
  <CharactersWithSpaces>4322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