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6, 2026</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PepsiCo,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353"/>
        <w:gridCol w:w="353"/>
        <w:gridCol w:w="358"/>
        <w:gridCol w:w="109"/>
        <w:gridCol w:w="109"/>
        <w:gridCol w:w="109"/>
        <w:gridCol w:w="433"/>
        <w:gridCol w:w="433"/>
        <w:gridCol w:w="61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1-1183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13-1584302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700 Anderson Hill Road, Purchase, New York 10577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(914) 253-2000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Securities registered pursuant to Section 12(b) of the Securities Exchange Act of 1934:</w:t>
      </w:r>
      <w:r>
        <w:rPr>
          <w:color w:val="000000"/>
        </w:rPr>
        <w:t xml:space="preserve"> </w:t>
      </w:r>
    </w:p>
    <w:tbl>
      <w:tblPr>
        <w:tblW w:w="9983" w:type="dxa"/>
        <w:jc w:val="center"/>
        <w:tblInd w:w="0" w:type="dxa"/>
        <w:tblLayout w:type="fixed"/>
        <w:tblCellMar>
          <w:top w:w="28" w:type="dxa"/>
          <w:left w:w="28" w:type="dxa"/>
          <w:bottom w:w="28" w:type="dxa"/>
          <w:right w:w="28" w:type="dxa"/>
        </w:tblCellMar>
      </w:tblPr>
      <w:tblGrid>
        <w:gridCol w:w="1420"/>
        <w:gridCol w:w="1248"/>
        <w:gridCol w:w="1262"/>
        <w:gridCol w:w="109"/>
        <w:gridCol w:w="109"/>
        <w:gridCol w:w="109"/>
        <w:gridCol w:w="524"/>
        <w:gridCol w:w="524"/>
        <w:gridCol w:w="526"/>
        <w:gridCol w:w="109"/>
        <w:gridCol w:w="109"/>
        <w:gridCol w:w="109"/>
        <w:gridCol w:w="1118"/>
        <w:gridCol w:w="1118"/>
        <w:gridCol w:w="158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1-2/3 cents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0.500%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Floating Rate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3.200%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1.125%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0.400%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0.750% Senior Notes Due 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3.550%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3.300%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3.450% Senior Notes Due 2037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3.700% Senior Notes Due 2038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0.875% Senior Notes Due 2039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4.150% Senior Notes Due 2047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 Senior Notes Due 2050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3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4.050% Senior Notes Due 2055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PEP55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to a Vote of Security Holders.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PepsiCo, Inc. (“PepsiCo”) held its 2026 Annual Meeting of Shareholders on May 6, 2026.</w:t>
      </w:r>
      <w:r>
        <w:rPr>
          <w:color w:val="000000"/>
        </w:rPr>
        <w:t xml:space="preserve"> </w:t>
      </w:r>
      <w:r>
        <w:rPr>
          <w:rFonts w:ascii="Times New Roman;serif" w:hAnsi="Times New Roman;serif"/>
          <w:b w:val="false"/>
          <w:color w:val="000000"/>
          <w:sz w:val="20"/>
        </w:rPr>
        <w:t>For more information on the following proposals, see PepsiCo’s proxy statement for the 2026 Annual Meeting of Shareholders, filed with the Securities and Exchange Commission on March 27, 2026. Below are the final voting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The following 13 persons were elected to serve as directors of PepsiCo:</w:t>
      </w:r>
    </w:p>
    <w:tbl>
      <w:tblPr>
        <w:tblW w:w="7806"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379"/>
        <w:gridCol w:w="379"/>
        <w:gridCol w:w="383"/>
        <w:gridCol w:w="109"/>
        <w:gridCol w:w="109"/>
        <w:gridCol w:w="109"/>
        <w:gridCol w:w="344"/>
        <w:gridCol w:w="344"/>
        <w:gridCol w:w="348"/>
        <w:gridCol w:w="109"/>
        <w:gridCol w:w="109"/>
        <w:gridCol w:w="109"/>
        <w:gridCol w:w="309"/>
        <w:gridCol w:w="309"/>
        <w:gridCol w:w="313"/>
        <w:gridCol w:w="109"/>
        <w:gridCol w:w="109"/>
        <w:gridCol w:w="109"/>
        <w:gridCol w:w="492"/>
        <w:gridCol w:w="492"/>
        <w:gridCol w:w="697"/>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Nominee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Bailey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985,427,406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2,032,468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Cesar Conde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950,713,170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50,520,606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2,219,578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Ian Cook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966,847,048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34,407,477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Edith W. Cooper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978,844,369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22,559,581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M. Diamond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978,952,453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22,246,704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 Dublon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925,174,904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76,178,047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2,100,403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Gass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988,042,236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W. Gibbs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987,649,367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13,634,007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2,169,980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 L. Laguarta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947,731,772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49,828,733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5,892,849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Sir Dave J. Lewis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993,210,485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C. Pohlad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914,405,632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86,817,565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Daniel Vasella, MD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918,117,238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83,114,934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Alberto Weisser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964,298,726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36,895,458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2,259,170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shareholders ratified the appointment of KPMG LLP as the independent registered public accounting firm for PepsiCo for fiscal year 2026:</w:t>
      </w:r>
    </w:p>
    <w:tbl>
      <w:tblPr>
        <w:tblW w:w="2926" w:type="dxa"/>
        <w:jc w:val="left"/>
        <w:tblInd w:w="0" w:type="dxa"/>
        <w:tblLayout w:type="fixed"/>
        <w:tblCellMar>
          <w:top w:w="28" w:type="dxa"/>
          <w:left w:w="28" w:type="dxa"/>
          <w:bottom w:w="28" w:type="dxa"/>
          <w:right w:w="28" w:type="dxa"/>
        </w:tblCellMar>
      </w:tblPr>
      <w:tblGrid>
        <w:gridCol w:w="571"/>
        <w:gridCol w:w="504"/>
        <w:gridCol w:w="515"/>
        <w:gridCol w:w="391"/>
        <w:gridCol w:w="391"/>
        <w:gridCol w:w="55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1,082,112,778</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86,960,465</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2,458,003</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The shareholders approved, on an advisory basis, PepsiCo’s executive compensation: </w:t>
      </w:r>
    </w:p>
    <w:tbl>
      <w:tblPr>
        <w:tblW w:w="2776" w:type="dxa"/>
        <w:jc w:val="left"/>
        <w:tblInd w:w="0" w:type="dxa"/>
        <w:tblLayout w:type="fixed"/>
        <w:tblCellMar>
          <w:top w:w="28" w:type="dxa"/>
          <w:left w:w="28" w:type="dxa"/>
          <w:bottom w:w="28" w:type="dxa"/>
          <w:right w:w="28" w:type="dxa"/>
        </w:tblCellMar>
      </w:tblPr>
      <w:tblGrid>
        <w:gridCol w:w="571"/>
        <w:gridCol w:w="504"/>
        <w:gridCol w:w="515"/>
        <w:gridCol w:w="347"/>
        <w:gridCol w:w="347"/>
        <w:gridCol w:w="492"/>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889,386,771</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109,646,883</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4,419,700</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shareholders voted against a shareholder proposal regarding an independent board chair:</w:t>
      </w:r>
    </w:p>
    <w:tbl>
      <w:tblPr>
        <w:tblW w:w="2776" w:type="dxa"/>
        <w:jc w:val="left"/>
        <w:tblInd w:w="0" w:type="dxa"/>
        <w:tblLayout w:type="fixed"/>
        <w:tblCellMar>
          <w:top w:w="28" w:type="dxa"/>
          <w:left w:w="28" w:type="dxa"/>
          <w:bottom w:w="28" w:type="dxa"/>
          <w:right w:w="28" w:type="dxa"/>
        </w:tblCellMar>
      </w:tblPr>
      <w:tblGrid>
        <w:gridCol w:w="571"/>
        <w:gridCol w:w="504"/>
        <w:gridCol w:w="515"/>
        <w:gridCol w:w="347"/>
        <w:gridCol w:w="347"/>
        <w:gridCol w:w="492"/>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255,870,502</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735,873,528</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11,709,324</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bl>
    <w:p>
      <w:pPr>
        <w:pStyle w:val="TextBody"/>
        <w:bidi w:val="0"/>
        <w:spacing w:before="100" w:after="10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shareholders voted against a shareholder proposal regarding a report on human rights oversight:</w:t>
      </w:r>
    </w:p>
    <w:tbl>
      <w:tblPr>
        <w:tblW w:w="2776" w:type="dxa"/>
        <w:jc w:val="left"/>
        <w:tblInd w:w="0" w:type="dxa"/>
        <w:tblLayout w:type="fixed"/>
        <w:tblCellMar>
          <w:top w:w="28" w:type="dxa"/>
          <w:left w:w="28" w:type="dxa"/>
          <w:bottom w:w="28" w:type="dxa"/>
          <w:right w:w="28" w:type="dxa"/>
        </w:tblCellMar>
      </w:tblPr>
      <w:tblGrid>
        <w:gridCol w:w="571"/>
        <w:gridCol w:w="504"/>
        <w:gridCol w:w="515"/>
        <w:gridCol w:w="347"/>
        <w:gridCol w:w="347"/>
        <w:gridCol w:w="492"/>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163,426,130</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825,383,050</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14,644,174</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bl>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(6) The shareholders voted against a shareholder proposal regarding a report evaluating the treatment of animals within supply chain:</w:t>
      </w:r>
    </w:p>
    <w:tbl>
      <w:tblPr>
        <w:tblW w:w="2776" w:type="dxa"/>
        <w:jc w:val="left"/>
        <w:tblInd w:w="0" w:type="dxa"/>
        <w:tblLayout w:type="fixed"/>
        <w:tblCellMar>
          <w:top w:w="28" w:type="dxa"/>
          <w:left w:w="28" w:type="dxa"/>
          <w:bottom w:w="28" w:type="dxa"/>
          <w:right w:w="28" w:type="dxa"/>
        </w:tblCellMar>
      </w:tblPr>
      <w:tblGrid>
        <w:gridCol w:w="571"/>
        <w:gridCol w:w="504"/>
        <w:gridCol w:w="515"/>
        <w:gridCol w:w="346"/>
        <w:gridCol w:w="346"/>
        <w:gridCol w:w="494"/>
      </w:tblGrid>
      <w:tr>
        <w:trPr/>
        <w:tc>
          <w:tcPr>
            <w:tcW w:w="5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87,251,346</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899,535,564</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16,666,444</w:t>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168,077,892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8096" w:type="dxa"/>
        <w:jc w:val="left"/>
        <w:tblInd w:w="0" w:type="dxa"/>
        <w:tblLayout w:type="fixed"/>
        <w:tblCellMar>
          <w:top w:w="28" w:type="dxa"/>
          <w:left w:w="28" w:type="dxa"/>
          <w:bottom w:w="28" w:type="dxa"/>
          <w:right w:w="28" w:type="dxa"/>
        </w:tblCellMar>
      </w:tblPr>
      <w:tblGrid>
        <w:gridCol w:w="591"/>
        <w:gridCol w:w="520"/>
        <w:gridCol w:w="523"/>
        <w:gridCol w:w="214"/>
        <w:gridCol w:w="214"/>
        <w:gridCol w:w="214"/>
        <w:gridCol w:w="1685"/>
        <w:gridCol w:w="1685"/>
        <w:gridCol w:w="245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PEPSICO,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Cynthia A. Nastanski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Cynthia A. Nastanski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Law and Deputy Corporate Secretary</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831</Words>
  <Characters>4792</Characters>
  <CharactersWithSpaces>5422</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