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0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Exchange Act of 1934</w:t>
      </w:r>
    </w:p>
    <w:p>
      <w:pPr>
        <w:spacing w:after="0" w:line="22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11, 2010</w:t>
      </w:r>
    </w:p>
    <w:p>
      <w:pPr>
        <w:spacing w:after="0" w:line="14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PepsiCo, Inc.</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35"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1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North Carolina</w:t>
            </w:r>
          </w:p>
        </w:tc>
        <w:tc>
          <w:tcPr>
            <w:tcW w:w="35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89"/>
              </w:rPr>
              <w:t>1-1183</w:t>
            </w:r>
          </w:p>
        </w:tc>
        <w:tc>
          <w:tcPr>
            <w:tcW w:w="1940" w:type="dxa"/>
            <w:vAlign w:val="bottom"/>
          </w:tcPr>
          <w:p>
            <w:pPr>
              <w:spacing w:after="0"/>
              <w:rPr>
                <w:sz w:val="19"/>
                <w:szCs w:val="19"/>
                <w:color w:val="auto"/>
              </w:rPr>
            </w:pPr>
          </w:p>
        </w:tc>
        <w:tc>
          <w:tcPr>
            <w:tcW w:w="16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13-1584302</w:t>
            </w:r>
          </w:p>
        </w:tc>
      </w:tr>
      <w:tr>
        <w:trPr>
          <w:trHeight w:val="216"/>
        </w:trPr>
        <w:tc>
          <w:tcPr>
            <w:tcW w:w="2160" w:type="dxa"/>
            <w:vAlign w:val="bottom"/>
          </w:tcPr>
          <w:p>
            <w:pPr>
              <w:jc w:val="center"/>
              <w:ind w:right="110"/>
              <w:spacing w:after="0"/>
              <w:rPr>
                <w:sz w:val="20"/>
                <w:szCs w:val="20"/>
                <w:color w:val="auto"/>
              </w:rPr>
            </w:pPr>
            <w:r>
              <w:rPr>
                <w:rFonts w:ascii="Arial" w:cs="Arial" w:eastAsia="Arial" w:hAnsi="Arial"/>
                <w:sz w:val="18"/>
                <w:szCs w:val="18"/>
                <w:color w:val="auto"/>
                <w:w w:val="91"/>
              </w:rPr>
              <w:t>(State or Other Jurisdiction</w:t>
            </w:r>
          </w:p>
        </w:tc>
        <w:tc>
          <w:tcPr>
            <w:tcW w:w="1800" w:type="dxa"/>
            <w:vAlign w:val="bottom"/>
          </w:tcPr>
          <w:p>
            <w:pPr>
              <w:spacing w:after="0"/>
              <w:rPr>
                <w:sz w:val="18"/>
                <w:szCs w:val="18"/>
                <w:color w:val="auto"/>
              </w:rPr>
            </w:pPr>
          </w:p>
        </w:tc>
        <w:tc>
          <w:tcPr>
            <w:tcW w:w="3680" w:type="dxa"/>
            <w:vAlign w:val="bottom"/>
            <w:gridSpan w:val="2"/>
          </w:tcPr>
          <w:p>
            <w:pPr>
              <w:jc w:val="center"/>
              <w:ind w:right="2060"/>
              <w:spacing w:after="0"/>
              <w:rPr>
                <w:sz w:val="20"/>
                <w:szCs w:val="20"/>
                <w:color w:val="auto"/>
              </w:rPr>
            </w:pPr>
            <w:r>
              <w:rPr>
                <w:rFonts w:ascii="Arial" w:cs="Arial" w:eastAsia="Arial" w:hAnsi="Arial"/>
                <w:sz w:val="18"/>
                <w:szCs w:val="18"/>
                <w:color w:val="auto"/>
                <w:w w:val="93"/>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60" w:type="dxa"/>
            <w:vAlign w:val="bottom"/>
          </w:tcPr>
          <w:p>
            <w:pPr>
              <w:jc w:val="center"/>
              <w:ind w:right="50"/>
              <w:spacing w:after="0"/>
              <w:rPr>
                <w:sz w:val="20"/>
                <w:szCs w:val="20"/>
                <w:color w:val="auto"/>
              </w:rPr>
            </w:pPr>
            <w:r>
              <w:rPr>
                <w:rFonts w:ascii="Arial" w:cs="Arial" w:eastAsia="Arial" w:hAnsi="Arial"/>
                <w:sz w:val="18"/>
                <w:szCs w:val="18"/>
                <w:color w:val="auto"/>
                <w:w w:val="93"/>
              </w:rPr>
              <w:t>of Incorporation)</w:t>
            </w:r>
          </w:p>
        </w:tc>
        <w:tc>
          <w:tcPr>
            <w:tcW w:w="1800" w:type="dxa"/>
            <w:vAlign w:val="bottom"/>
          </w:tcPr>
          <w:p>
            <w:pPr>
              <w:spacing w:after="0"/>
              <w:rPr>
                <w:sz w:val="20"/>
                <w:szCs w:val="20"/>
                <w:color w:val="auto"/>
              </w:rPr>
            </w:pPr>
          </w:p>
        </w:tc>
        <w:tc>
          <w:tcPr>
            <w:tcW w:w="3680" w:type="dxa"/>
            <w:vAlign w:val="bottom"/>
            <w:gridSpan w:val="2"/>
          </w:tcPr>
          <w:p>
            <w:pPr>
              <w:jc w:val="center"/>
              <w:ind w:right="206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346"/>
        </w:trPr>
        <w:tc>
          <w:tcPr>
            <w:tcW w:w="2160" w:type="dxa"/>
            <w:vAlign w:val="bottom"/>
          </w:tcPr>
          <w:p>
            <w:pPr>
              <w:spacing w:after="0"/>
              <w:rPr>
                <w:sz w:val="24"/>
                <w:szCs w:val="24"/>
                <w:color w:val="auto"/>
              </w:rPr>
            </w:pPr>
          </w:p>
        </w:tc>
        <w:tc>
          <w:tcPr>
            <w:tcW w:w="54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700 Anderson Hill Road</w:t>
            </w:r>
          </w:p>
        </w:tc>
        <w:tc>
          <w:tcPr>
            <w:tcW w:w="1660" w:type="dxa"/>
            <w:vAlign w:val="bottom"/>
          </w:tcPr>
          <w:p>
            <w:pPr>
              <w:spacing w:after="0"/>
              <w:rPr>
                <w:sz w:val="24"/>
                <w:szCs w:val="24"/>
                <w:color w:val="auto"/>
              </w:rPr>
            </w:pPr>
          </w:p>
        </w:tc>
      </w:tr>
      <w:tr>
        <w:trPr>
          <w:trHeight w:val="220"/>
        </w:trPr>
        <w:tc>
          <w:tcPr>
            <w:tcW w:w="2160" w:type="dxa"/>
            <w:vAlign w:val="bottom"/>
          </w:tcPr>
          <w:p>
            <w:pPr>
              <w:spacing w:after="0"/>
              <w:rPr>
                <w:sz w:val="19"/>
                <w:szCs w:val="19"/>
                <w:color w:val="auto"/>
              </w:rPr>
            </w:pPr>
          </w:p>
        </w:tc>
        <w:tc>
          <w:tcPr>
            <w:tcW w:w="54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Purchase, New York 10577</w:t>
            </w:r>
          </w:p>
        </w:tc>
        <w:tc>
          <w:tcPr>
            <w:tcW w:w="1660" w:type="dxa"/>
            <w:vAlign w:val="bottom"/>
          </w:tcPr>
          <w:p>
            <w:pPr>
              <w:spacing w:after="0"/>
              <w:rPr>
                <w:sz w:val="19"/>
                <w:szCs w:val="19"/>
                <w:color w:val="auto"/>
              </w:rPr>
            </w:pPr>
          </w:p>
        </w:tc>
      </w:tr>
      <w:tr>
        <w:trPr>
          <w:trHeight w:val="230"/>
        </w:trPr>
        <w:tc>
          <w:tcPr>
            <w:tcW w:w="2160" w:type="dxa"/>
            <w:vAlign w:val="bottom"/>
          </w:tcPr>
          <w:p>
            <w:pPr>
              <w:spacing w:after="0"/>
              <w:rPr>
                <w:sz w:val="20"/>
                <w:szCs w:val="20"/>
                <w:color w:val="auto"/>
              </w:rPr>
            </w:pPr>
          </w:p>
        </w:tc>
        <w:tc>
          <w:tcPr>
            <w:tcW w:w="548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365"/>
        </w:trPr>
        <w:tc>
          <w:tcPr>
            <w:tcW w:w="2160" w:type="dxa"/>
            <w:vAlign w:val="bottom"/>
          </w:tcPr>
          <w:p>
            <w:pPr>
              <w:spacing w:after="0"/>
              <w:rPr>
                <w:sz w:val="24"/>
                <w:szCs w:val="24"/>
                <w:color w:val="auto"/>
              </w:rPr>
            </w:pPr>
          </w:p>
        </w:tc>
        <w:tc>
          <w:tcPr>
            <w:tcW w:w="54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(914) 253-2000</w:t>
            </w:r>
          </w:p>
        </w:tc>
        <w:tc>
          <w:tcPr>
            <w:tcW w:w="1660" w:type="dxa"/>
            <w:vAlign w:val="bottom"/>
          </w:tcPr>
          <w:p>
            <w:pPr>
              <w:spacing w:after="0"/>
              <w:rPr>
                <w:sz w:val="24"/>
                <w:szCs w:val="24"/>
                <w:color w:val="auto"/>
              </w:rPr>
            </w:pPr>
          </w:p>
        </w:tc>
      </w:tr>
      <w:tr>
        <w:trPr>
          <w:trHeight w:val="350"/>
        </w:trPr>
        <w:tc>
          <w:tcPr>
            <w:tcW w:w="2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8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w w:val="96"/>
              </w:rPr>
              <w:t>N/A</w:t>
            </w:r>
          </w:p>
        </w:tc>
        <w:tc>
          <w:tcPr>
            <w:tcW w:w="166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54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660" w:type="dxa"/>
            <w:vAlign w:val="bottom"/>
          </w:tcPr>
          <w:p>
            <w:pPr>
              <w:spacing w:after="0"/>
              <w:rPr>
                <w:sz w:val="20"/>
                <w:szCs w:val="20"/>
                <w:color w:val="auto"/>
              </w:rPr>
            </w:pPr>
          </w:p>
        </w:tc>
      </w:tr>
      <w:tr>
        <w:trPr>
          <w:trHeight w:val="257"/>
        </w:trPr>
        <w:tc>
          <w:tcPr>
            <w:tcW w:w="21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740" w:type="dxa"/>
            <w:vAlign w:val="bottom"/>
            <w:tcBorders>
              <w:bottom w:val="single" w:sz="8" w:color="808080"/>
            </w:tcBorders>
          </w:tcPr>
          <w:p>
            <w:pPr>
              <w:spacing w:after="0"/>
              <w:rPr>
                <w:sz w:val="22"/>
                <w:szCs w:val="22"/>
                <w:color w:val="auto"/>
              </w:rPr>
            </w:pPr>
          </w:p>
        </w:tc>
        <w:tc>
          <w:tcPr>
            <w:tcW w:w="1940" w:type="dxa"/>
            <w:vAlign w:val="bottom"/>
          </w:tcPr>
          <w:p>
            <w:pPr>
              <w:spacing w:after="0"/>
              <w:rPr>
                <w:sz w:val="22"/>
                <w:szCs w:val="22"/>
                <w:color w:val="auto"/>
              </w:rPr>
            </w:pPr>
          </w:p>
        </w:tc>
        <w:tc>
          <w:tcPr>
            <w:tcW w:w="1660" w:type="dxa"/>
            <w:vAlign w:val="bottom"/>
          </w:tcPr>
          <w:p>
            <w:pPr>
              <w:spacing w:after="0"/>
              <w:rPr>
                <w:sz w:val="22"/>
                <w:szCs w:val="22"/>
                <w:color w:val="auto"/>
              </w:rPr>
            </w:pPr>
          </w:p>
        </w:tc>
      </w:tr>
    </w:tbl>
    <w:p>
      <w:pPr>
        <w:spacing w:after="0" w:line="337"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980" w:hanging="567"/>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980" w:hanging="567"/>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980" w:hanging="567"/>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980" w:hanging="567"/>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702" w:right="77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On February 11, 2010, PepsiCo, Inc. (the “</w:t>
      </w:r>
      <w:r>
        <w:rPr>
          <w:rFonts w:ascii="Arial" w:cs="Arial" w:eastAsia="Arial" w:hAnsi="Arial"/>
          <w:sz w:val="17"/>
          <w:szCs w:val="17"/>
          <w:b w:val="1"/>
          <w:bCs w:val="1"/>
          <w:color w:val="auto"/>
        </w:rPr>
        <w:t>Company</w:t>
      </w:r>
      <w:r>
        <w:rPr>
          <w:rFonts w:ascii="Arial" w:cs="Arial" w:eastAsia="Arial" w:hAnsi="Arial"/>
          <w:sz w:val="17"/>
          <w:szCs w:val="17"/>
          <w:color w:val="auto"/>
        </w:rPr>
        <w:t>”) issued a press release announcing its unaudited fiscal 2009 fourth quarter and full year financial</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results. Among other things, for the full year the Company reported net revenue of $43.2 billion, operating profit of $8.0 billion and earnings per share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$3.77 for its fiscal year ending December 26, 2009. It also reported net revenue of $13.3 billion, operating profit of $2.0 billion and earnings per share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$0.90 for the fourth quarter of such fiscal year. The Company indicated that it hopes to close its proposed acquisitions of The Pepsi Bottling Group, Inc.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PepsiAmericas, Inc. by the end of February 2010. The Company also announced that as a result of its recent integration planning efforts, the Company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now targeting pre-tax annualized synergies from the proposed bottler acquisitions of approximately $400 million once fully implemented by 2012, with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costs of about the same amount. Synergies to be realized in 2010 are expected to total approximately $125 to $150 million. The Company stated that 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still in the process of completing its integration planning. In addition, the Company stated that it expects to resume repurchasing its shares upon the close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bottling acquisitions and anticipates that in 2010 share repurchases, together with a voluntary $600 million pension plan contribution, would total about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 billion.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56"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PepsiCo, Inc. (“</w:t>
      </w:r>
      <w:r>
        <w:rPr>
          <w:rFonts w:ascii="Arial" w:cs="Arial" w:eastAsia="Arial" w:hAnsi="Arial"/>
          <w:sz w:val="16"/>
          <w:szCs w:val="16"/>
          <w:b w:val="1"/>
          <w:bCs w:val="1"/>
          <w:color w:val="auto"/>
        </w:rPr>
        <w:t>PepsiCo</w:t>
      </w:r>
      <w:r>
        <w:rPr>
          <w:rFonts w:ascii="Arial" w:cs="Arial" w:eastAsia="Arial" w:hAnsi="Arial"/>
          <w:sz w:val="16"/>
          <w:szCs w:val="16"/>
          <w:color w:val="auto"/>
        </w:rPr>
        <w:t>”) and The Pepsi Bottling Group, Inc. (“</w:t>
      </w:r>
      <w:r>
        <w:rPr>
          <w:rFonts w:ascii="Arial" w:cs="Arial" w:eastAsia="Arial" w:hAnsi="Arial"/>
          <w:sz w:val="16"/>
          <w:szCs w:val="16"/>
          <w:b w:val="1"/>
          <w:bCs w:val="1"/>
          <w:color w:val="auto"/>
        </w:rPr>
        <w:t>PBG</w:t>
      </w:r>
      <w:r>
        <w:rPr>
          <w:rFonts w:ascii="Arial" w:cs="Arial" w:eastAsia="Arial" w:hAnsi="Arial"/>
          <w:sz w:val="16"/>
          <w:szCs w:val="16"/>
          <w:color w:val="auto"/>
        </w:rPr>
        <w:t>”) have filed with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 registration statement on Form S-4 containing a proxy statement/prospectus and other documents with respect to the proposed acquisition of PBG. PepsiCo and PepsiAmericas, Inc.</w:t>
      </w:r>
    </w:p>
    <w:p>
      <w:pPr>
        <w:ind w:right="46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PAS</w:t>
      </w:r>
      <w:r>
        <w:rPr>
          <w:rFonts w:ascii="Arial" w:cs="Arial" w:eastAsia="Arial" w:hAnsi="Arial"/>
          <w:sz w:val="17"/>
          <w:szCs w:val="17"/>
          <w:color w:val="auto"/>
        </w:rPr>
        <w:t xml:space="preserve">”) have filed with the SEC a registration statement on Form S-4 containing a proxy statement/prospectus and other documents with respect to the proposed acquisition of PAS. </w:t>
      </w:r>
      <w:r>
        <w:rPr>
          <w:rFonts w:ascii="Arial" w:cs="Arial" w:eastAsia="Arial" w:hAnsi="Arial"/>
          <w:sz w:val="17"/>
          <w:szCs w:val="17"/>
          <w:b w:val="1"/>
          <w:bCs w:val="1"/>
          <w:color w:val="auto"/>
        </w:rPr>
        <w:t>INVESTORS AND SECURITY HOLDERS OF PBG AND PAS ARE URGED TO READ THE APPLICABLE</w:t>
      </w:r>
    </w:p>
    <w:p>
      <w:pPr>
        <w:ind w:right="900"/>
        <w:spacing w:after="0" w:line="261" w:lineRule="auto"/>
        <w:rPr>
          <w:sz w:val="20"/>
          <w:szCs w:val="20"/>
          <w:color w:val="auto"/>
        </w:rPr>
      </w:pPr>
      <w:r>
        <w:rPr>
          <w:rFonts w:ascii="Arial" w:cs="Arial" w:eastAsia="Arial" w:hAnsi="Arial"/>
          <w:sz w:val="18"/>
          <w:szCs w:val="18"/>
          <w:b w:val="1"/>
          <w:bCs w:val="1"/>
          <w:color w:val="auto"/>
        </w:rPr>
        <w:t>DEFINITIVE PROXY STATEMENT/PROSPECTUS AND OTHER DOCUMENTS FILED WITH THE SEC CAREFULLY IN THEIR ENTIRETY BECAUSE THEY WILL CONTAIN IMPORTANT INFORMATION</w:t>
      </w:r>
      <w:r>
        <w:rPr>
          <w:rFonts w:ascii="Arial" w:cs="Arial" w:eastAsia="Arial" w:hAnsi="Arial"/>
          <w:sz w:val="18"/>
          <w:szCs w:val="18"/>
          <w:color w:val="auto"/>
        </w:rPr>
        <w:t>.</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Investors and security holders may obtain free copies of the registration statements and the proxy statements/prospectuses and other documents filed with the SEC by PepsiCo, PBG or PAS through the website maintained by the SEC at </w:t>
      </w:r>
      <w:r>
        <w:rPr>
          <w:rFonts w:ascii="Arial" w:cs="Arial" w:eastAsia="Arial" w:hAnsi="Arial"/>
          <w:sz w:val="17"/>
          <w:szCs w:val="17"/>
          <w:u w:val="single" w:color="auto"/>
          <w:color w:val="0000FF"/>
        </w:rPr>
        <w:t>www.sec.gov</w:t>
      </w:r>
      <w:r>
        <w:rPr>
          <w:rFonts w:ascii="Arial" w:cs="Arial" w:eastAsia="Arial" w:hAnsi="Arial"/>
          <w:sz w:val="17"/>
          <w:szCs w:val="17"/>
          <w:color w:val="auto"/>
        </w:rPr>
        <w:t xml:space="preserve">. Copies of the documents filed with the SEC by PepsiCo are available free of charge on PepsiCo’s internet website at </w:t>
      </w:r>
      <w:r>
        <w:rPr>
          <w:rFonts w:ascii="Arial" w:cs="Arial" w:eastAsia="Arial" w:hAnsi="Arial"/>
          <w:sz w:val="17"/>
          <w:szCs w:val="17"/>
          <w:u w:val="single" w:color="auto"/>
          <w:color w:val="0000FF"/>
        </w:rPr>
        <w:t>www.pepsico.com</w:t>
      </w:r>
      <w:r>
        <w:rPr>
          <w:rFonts w:ascii="Arial" w:cs="Arial" w:eastAsia="Arial" w:hAnsi="Arial"/>
          <w:sz w:val="17"/>
          <w:szCs w:val="17"/>
          <w:color w:val="auto"/>
        </w:rPr>
        <w:t xml:space="preserve"> or by contacting PepsiCo’s Investor Relations Department at 914-253-3035. Copies of the documents filed with the SEC by PBG are also available free of charge on PBG’s internet website at </w:t>
      </w:r>
      <w:r>
        <w:rPr>
          <w:rFonts w:ascii="Arial" w:cs="Arial" w:eastAsia="Arial" w:hAnsi="Arial"/>
          <w:sz w:val="17"/>
          <w:szCs w:val="17"/>
          <w:u w:val="single" w:color="auto"/>
          <w:color w:val="0000FF"/>
        </w:rPr>
        <w:t>www.pbg.com</w:t>
      </w:r>
      <w:r>
        <w:rPr>
          <w:rFonts w:ascii="Arial" w:cs="Arial" w:eastAsia="Arial" w:hAnsi="Arial"/>
          <w:sz w:val="17"/>
          <w:szCs w:val="17"/>
          <w:color w:val="auto"/>
        </w:rPr>
        <w:t xml:space="preserve"> or by contacting PBG’s Investor Relations Department at 914-767-7216. Copies of the documents filed with the SEC by PAS are also available free of charge on PAS’s internet website at </w:t>
      </w:r>
      <w:r>
        <w:rPr>
          <w:rFonts w:ascii="Arial" w:cs="Arial" w:eastAsia="Arial" w:hAnsi="Arial"/>
          <w:sz w:val="17"/>
          <w:szCs w:val="17"/>
          <w:u w:val="single" w:color="auto"/>
          <w:color w:val="0000FF"/>
        </w:rPr>
        <w:t>www.pepsiamericas.com</w:t>
      </w:r>
      <w:r>
        <w:rPr>
          <w:rFonts w:ascii="Arial" w:cs="Arial" w:eastAsia="Arial" w:hAnsi="Arial"/>
          <w:sz w:val="17"/>
          <w:szCs w:val="17"/>
          <w:color w:val="auto"/>
        </w:rPr>
        <w:t xml:space="preserve"> or by contacting PAS’s Investor Relations Department at 612-661-3883.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 w:name="page3"/>
    <w:bookmarkEnd w:id="2"/>
    <w:p>
      <w:pPr>
        <w:ind w:right="40"/>
        <w:spacing w:after="0" w:line="286" w:lineRule="auto"/>
        <w:rPr>
          <w:sz w:val="20"/>
          <w:szCs w:val="20"/>
          <w:color w:val="auto"/>
        </w:rPr>
      </w:pPr>
      <w:r>
        <w:rPr>
          <w:rFonts w:ascii="Arial" w:cs="Arial" w:eastAsia="Arial" w:hAnsi="Arial"/>
          <w:sz w:val="16"/>
          <w:szCs w:val="16"/>
          <w:color w:val="auto"/>
        </w:rPr>
        <w:t>Statements in this communication that are “forward-looking statements” are based on currently available information, operating plans and projections about future events and trends. They inherently involve risks and uncertainties that could cause actual results to differ materially from those predicted in such forward-looking statements. Such risks and uncertainties include, but are not limited to: PepsiCo’s ability to consummate the acquisitions of PBG and PAS and to achieve the synergies and value creation contemplated by the proposed acquisitions; PepsiCo’s ability to promptly and effectively integrate the businesses of PBG, PAS and PepsiCo; the timing to consummate the proposed acquisitions and any necessary actions to obtain required regulatory approvals; the diversion of management time on transaction-related issues; changes in demand for PepsiCo’s products, as a result of shifts in consumer preferences or otherwise; increased costs, disruption of supply or shortages of raw materials and other supplies; unfavorable economic conditions and increased volatility in foreign exchange rates; PepsiCo’s ability to build and sustain proper information technology infrastructure, successfully implement its ongoing business process transformation initiative or outsource certain functions effectively; damage to PepsiCo’s reputation; trade consolidation, the loss of any key customer, or failure to maintain good relationships with PepsiCo’s bottling partners, including as a result of the proposed acquisitions; PepsiCo’s ability to hire or retain key employees or a highly skilled and diverse workforce; changes in the legal and regulatory environment; disruption of PepsiCo’s supply chain; unstable political conditions, civil unrest or other developments and risks in the countries where PepsiCo operates; and risks that benefits from PepsiCo’s Productivity for Growth initiative may not be achieved, may take longer to achieve than expected or may cost more than currently anticipated.</w:t>
      </w:r>
    </w:p>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additional information on these and other factors that could cause PepsiCo’s actual results to materially differ from those set forth herein, please see PepsiCo’s filings with the SEC, including its most recent annual report on Form 10-K and subsequent reports on Forms 10-Q and 8-K. Investors are cautioned not to place undue reliance on any such forward-looking statements, which speak only as of the date they are made. PepsiCo undertakes no obligation to update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356235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380" w:type="dxa"/>
            <w:vAlign w:val="bottom"/>
            <w:gridSpan w:val="2"/>
          </w:tcPr>
          <w:p>
            <w:pPr>
              <w:ind w:left="2180"/>
              <w:spacing w:after="0"/>
              <w:rPr>
                <w:sz w:val="20"/>
                <w:szCs w:val="20"/>
                <w:color w:val="auto"/>
              </w:rPr>
            </w:pPr>
            <w:r>
              <w:rPr>
                <w:rFonts w:ascii="Arial" w:cs="Arial" w:eastAsia="Arial" w:hAnsi="Arial"/>
                <w:sz w:val="18"/>
                <w:szCs w:val="18"/>
                <w:color w:val="auto"/>
                <w:w w:val="93"/>
              </w:rPr>
              <w:t>PEPSICO, INC.</w:t>
            </w:r>
          </w:p>
        </w:tc>
        <w:tc>
          <w:tcPr>
            <w:tcW w:w="32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55"/>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11, 2010</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H. Tamoney, Jr.</w:t>
            </w:r>
          </w:p>
        </w:tc>
        <w:tc>
          <w:tcPr>
            <w:tcW w:w="1260" w:type="dxa"/>
            <w:vAlign w:val="bottom"/>
          </w:tcPr>
          <w:p>
            <w:pPr>
              <w:spacing w:after="0"/>
              <w:rPr>
                <w:sz w:val="24"/>
                <w:szCs w:val="24"/>
                <w:color w:val="auto"/>
              </w:rPr>
            </w:pPr>
          </w:p>
        </w:tc>
      </w:tr>
      <w:tr>
        <w:trPr>
          <w:trHeight w:val="202"/>
        </w:trPr>
        <w:tc>
          <w:tcPr>
            <w:tcW w:w="8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240" w:type="dxa"/>
            <w:vAlign w:val="bottom"/>
          </w:tcPr>
          <w:p>
            <w:pPr>
              <w:ind w:left="60"/>
              <w:spacing w:after="0" w:line="201" w:lineRule="exact"/>
              <w:rPr>
                <w:sz w:val="20"/>
                <w:szCs w:val="20"/>
                <w:color w:val="auto"/>
              </w:rPr>
            </w:pPr>
            <w:r>
              <w:rPr>
                <w:rFonts w:ascii="Arial" w:cs="Arial" w:eastAsia="Arial" w:hAnsi="Arial"/>
                <w:sz w:val="18"/>
                <w:szCs w:val="18"/>
                <w:color w:val="auto"/>
              </w:rPr>
              <w:t>Thomas H. Tamoney, Jr.</w:t>
            </w:r>
          </w:p>
        </w:tc>
        <w:tc>
          <w:tcPr>
            <w:tcW w:w="1260" w:type="dxa"/>
            <w:vAlign w:val="bottom"/>
          </w:tcPr>
          <w:p>
            <w:pPr>
              <w:spacing w:after="0"/>
              <w:rPr>
                <w:sz w:val="17"/>
                <w:szCs w:val="17"/>
                <w:color w:val="auto"/>
              </w:rPr>
            </w:pPr>
          </w:p>
        </w:tc>
      </w:tr>
      <w:tr>
        <w:trPr>
          <w:trHeight w:val="216"/>
        </w:trPr>
        <w:tc>
          <w:tcPr>
            <w:tcW w:w="8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60"/>
              <w:spacing w:after="0"/>
              <w:rPr>
                <w:sz w:val="20"/>
                <w:szCs w:val="20"/>
                <w:color w:val="auto"/>
              </w:rPr>
            </w:pPr>
            <w:r>
              <w:rPr>
                <w:rFonts w:ascii="Arial" w:cs="Arial" w:eastAsia="Arial" w:hAnsi="Arial"/>
                <w:sz w:val="18"/>
                <w:szCs w:val="18"/>
                <w:color w:val="auto"/>
              </w:rPr>
              <w:t>Senior Vice President, Deputy General</w:t>
            </w:r>
          </w:p>
        </w:tc>
        <w:tc>
          <w:tcPr>
            <w:tcW w:w="12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auto"/>
              </w:rPr>
              <w:t>Counsel and Assistant Secretary</w:t>
            </w:r>
          </w:p>
        </w:tc>
        <w:tc>
          <w:tcPr>
            <w:tcW w:w="1260" w:type="dxa"/>
            <w:vAlign w:val="bottom"/>
          </w:tcPr>
          <w:p>
            <w:pPr>
              <w:spacing w:after="0"/>
              <w:rPr>
                <w:sz w:val="20"/>
                <w:szCs w:val="20"/>
                <w:color w:val="auto"/>
              </w:rPr>
            </w:pPr>
          </w:p>
        </w:tc>
      </w:tr>
      <w:tr>
        <w:trPr>
          <w:trHeight w:val="1064"/>
        </w:trPr>
        <w:tc>
          <w:tcPr>
            <w:tcW w:w="82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85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2019-12-16T11:23:12Z</dcterms:created>
  <dcterms:modified xsi:type="dcterms:W3CDTF">2019-12-16T11:23:12Z</dcterms:modified>
</cp:coreProperties>
</file>