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2475.xml.htm"/>
      <w:bookmarkStart w:id="1" w:name="kswkform4_17859624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Krishnan Ramkumar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North America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5,688</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GRAT 1</w:t>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5,688</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20,012</w:t>
            </w:r>
            <w:r>
              <w:rPr>
                <w:rFonts w:ascii="Times;serif" w:hAnsi="Times;serif"/>
                <w:color w:val="008000"/>
                <w:position w:val="7"/>
                <w:sz w:val="16"/>
                <w:sz w:val="20"/>
                <w:shd w:fill="FFFFFF" w:val="clear"/>
              </w:rPr>
              <w:t>(2)</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GRAT 2</w:t>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21,332</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GRAT 2</w:t>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80,670</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8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771"/>
        <w:gridCol w:w="276"/>
        <w:gridCol w:w="906"/>
        <w:gridCol w:w="801"/>
        <w:gridCol w:w="891"/>
        <w:gridCol w:w="801"/>
        <w:gridCol w:w="801"/>
        <w:gridCol w:w="1071"/>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Holding</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76.859</w:t>
            </w:r>
            <w:r>
              <w:rPr>
                <w:rFonts w:ascii="Times;serif" w:hAnsi="Times;serif"/>
                <w:color w:val="008000"/>
                <w:position w:val="7"/>
                <w:sz w:val="16"/>
                <w:sz w:val="20"/>
                <w:shd w:fill="FFFFFF" w:val="clear"/>
              </w:rPr>
              <w:t>(5)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PepsiCo, Inc.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2,777.3326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3, 2026, the reporting person withdrew 5,688 shares of PepsiCo common stock previously owned indirectly (and previously reported) by the reporting person in a grantor retained annuity trust ("GRAT 1"). The shares are being exchanged by the reporting person for cash and other assets of equivalent value to GRAT 1. The shares were valued at $139.63 per share (the closing market price on the the date of transfer). The reporting person believes that the withdrawal of shares from GRAT 1 constitutes a change in form of beneficial ownership of the shares, exempted by Rule 16a-13 under the Securities Exchange Act of 1934.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of securities beneficially owned reflects a transfer of 14,324 shares previously owned directly by the reporting person that were contributed to GRAT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a transfer by a family trust to GRAT 2 that are being exchanged for cash and other assets of equivalent value. The shares were valued at $139.63 per share (the closing market price on the date of transfer).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phantom units are held under the PepsiCo Executive Income Deferral Program ("EID") and convert to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amount relates to dividends credited to the reporting person's phantom stock account between March 2, 2026 and August 3, 2026 pursuant to the EID, at prices ranging from $135.40 to $155.29.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security is payable pursuant to the reporting person's election and the terms of the EID.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525"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881</Words>
  <Characters>4629</Characters>
  <CharactersWithSpaces>5393</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