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5, 2026 (36 weeks)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80" w:after="283"/>
        <w:jc w:val="both"/>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180" w:after="283"/>
        <w:jc w:val="both"/>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1-1183</w:t>
      </w:r>
      <w:r>
        <w:rPr>
          <w:color w:val="000000"/>
        </w:rPr>
        <w:t xml:space="preserve"> </w:t>
      </w:r>
    </w:p>
    <w:p>
      <w:pPr>
        <w:pStyle w:val="TextBody"/>
        <w:bidi w:val="0"/>
        <w:spacing w:before="0" w:after="0"/>
        <w:jc w:val="center"/>
        <w:rPr/>
      </w:pPr>
      <w:r>
        <w:rPr/>
        <w:drawing>
          <wp:inline distT="0" distB="0" distL="0" distR="0">
            <wp:extent cx="2152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657225"/>
                    </a:xfrm>
                    <a:prstGeom prst="rect">
                      <a:avLst/>
                    </a:prstGeom>
                  </pic:spPr>
                </pic:pic>
              </a:graphicData>
            </a:graphic>
          </wp:inline>
        </w:drawing>
      </w:r>
      <w:bookmarkStart w:id="0" w:name="i-1"/>
      <w:bookmarkEnd w:id="0"/>
    </w:p>
    <w:tbl>
      <w:tblPr>
        <w:tblW w:w="1229" w:type="dxa"/>
        <w:jc w:val="center"/>
        <w:tblInd w:w="0" w:type="dxa"/>
        <w:tblLayout w:type="fixed"/>
        <w:tblCellMar>
          <w:top w:w="28" w:type="dxa"/>
          <w:left w:w="28" w:type="dxa"/>
          <w:bottom w:w="28" w:type="dxa"/>
          <w:right w:w="28" w:type="dxa"/>
        </w:tblCellMar>
      </w:tblPr>
      <w:tblGrid>
        <w:gridCol w:w="393"/>
        <w:gridCol w:w="345"/>
        <w:gridCol w:w="491"/>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PepsiCo, Inc.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86" w:type="dxa"/>
        <w:jc w:val="left"/>
        <w:tblInd w:w="0" w:type="dxa"/>
        <w:tblLayout w:type="fixed"/>
        <w:tblCellMar>
          <w:top w:w="28" w:type="dxa"/>
          <w:left w:w="28" w:type="dxa"/>
          <w:bottom w:w="28" w:type="dxa"/>
          <w:right w:w="28" w:type="dxa"/>
        </w:tblCellMar>
      </w:tblPr>
      <w:tblGrid>
        <w:gridCol w:w="944"/>
        <w:gridCol w:w="831"/>
        <w:gridCol w:w="835"/>
        <w:gridCol w:w="109"/>
        <w:gridCol w:w="109"/>
        <w:gridCol w:w="109"/>
        <w:gridCol w:w="481"/>
        <w:gridCol w:w="481"/>
        <w:gridCol w:w="687"/>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13-1584302</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700 Anderson Hill Road, Purchase, New York 10577 </w:t>
      </w:r>
    </w:p>
    <w:tbl>
      <w:tblPr>
        <w:tblW w:w="4499" w:type="dxa"/>
        <w:jc w:val="center"/>
        <w:tblInd w:w="0" w:type="dxa"/>
        <w:tblLayout w:type="fixed"/>
        <w:tblCellMar>
          <w:top w:w="28" w:type="dxa"/>
          <w:left w:w="28" w:type="dxa"/>
          <w:bottom w:w="28" w:type="dxa"/>
          <w:right w:w="28" w:type="dxa"/>
        </w:tblCellMar>
      </w:tblPr>
      <w:tblGrid>
        <w:gridCol w:w="1437"/>
        <w:gridCol w:w="1264"/>
        <w:gridCol w:w="1798"/>
      </w:tblGrid>
      <w:tr>
        <w:trP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345"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(914) 253-2000 </w:t>
      </w:r>
    </w:p>
    <w:tbl>
      <w:tblPr>
        <w:tblW w:w="4350" w:type="dxa"/>
        <w:jc w:val="center"/>
        <w:tblInd w:w="0" w:type="dxa"/>
        <w:tblLayout w:type="fixed"/>
        <w:tblCellMar>
          <w:top w:w="28" w:type="dxa"/>
          <w:left w:w="28" w:type="dxa"/>
          <w:bottom w:w="28" w:type="dxa"/>
          <w:right w:w="28" w:type="dxa"/>
        </w:tblCellMar>
      </w:tblPr>
      <w:tblGrid>
        <w:gridCol w:w="1391"/>
        <w:gridCol w:w="1224"/>
        <w:gridCol w:w="1735"/>
      </w:tblGrid>
      <w:tr>
        <w:trPr/>
        <w:tc>
          <w:tcPr>
            <w:tcW w:w="139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64" w:before="120" w:after="283"/>
        <w:jc w:val="center"/>
        <w:rPr>
          <w:rFonts w:ascii="Times New Roman;serif" w:hAnsi="Times New Roman;serif"/>
          <w:b w:val="false"/>
          <w:color w:val="000000"/>
          <w:sz w:val="20"/>
        </w:rPr>
      </w:pPr>
      <w:r>
        <w:rPr>
          <w:rFonts w:ascii="Times New Roman;serif" w:hAnsi="Times New Roman;serif"/>
          <w:b w:val="false"/>
          <w:color w:val="000000"/>
          <w:sz w:val="20"/>
        </w:rPr>
        <w:t>N/A</w:t>
      </w:r>
    </w:p>
    <w:tbl>
      <w:tblPr>
        <w:tblW w:w="7095" w:type="dxa"/>
        <w:jc w:val="center"/>
        <w:tblInd w:w="0" w:type="dxa"/>
        <w:tblLayout w:type="fixed"/>
        <w:tblCellMar>
          <w:top w:w="28" w:type="dxa"/>
          <w:left w:w="28" w:type="dxa"/>
          <w:bottom w:w="28" w:type="dxa"/>
          <w:right w:w="28" w:type="dxa"/>
        </w:tblCellMar>
      </w:tblPr>
      <w:tblGrid>
        <w:gridCol w:w="2268"/>
        <w:gridCol w:w="1992"/>
        <w:gridCol w:w="2835"/>
      </w:tblGrid>
      <w:tr>
        <w:trPr/>
        <w:tc>
          <w:tcPr>
            <w:tcW w:w="22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before="120" w:after="12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20" w:after="283"/>
        <w:jc w:val="both"/>
        <w:rPr/>
      </w:pPr>
      <w:r>
        <w:rPr/>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outstanding as of October 1, 2026 was 1,362,741,092.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PepsiCo,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485"/>
        <w:gridCol w:w="417"/>
        <w:gridCol w:w="417"/>
        <w:gridCol w:w="2619"/>
        <w:gridCol w:w="2594"/>
        <w:gridCol w:w="2634"/>
        <w:gridCol w:w="303"/>
        <w:gridCol w:w="303"/>
        <w:gridCol w:w="433"/>
      </w:tblGrid>
      <w:tr>
        <w:trPr/>
        <w:tc>
          <w:tcPr>
            <w:tcW w:w="48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 No.</w:t>
            </w:r>
          </w:p>
        </w:tc>
      </w:tr>
      <w:tr>
        <w:trPr/>
        <w:tc>
          <w:tcPr>
            <w:tcW w:w="9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Part I Financial Information</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Condensed Consolidated Financial Statements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16">
              <w:r>
                <w:rPr>
                  <w:rStyle w:val="InternetLink"/>
                  <w:rFonts w:ascii="Times New Roman;serif" w:hAnsi="Times New Roman;serif"/>
                  <w:b w:val="false"/>
                  <w:color w:val="0000FF"/>
                  <w:sz w:val="24"/>
                  <w:u w:val="single"/>
                </w:rPr>
                <w:t>2</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19">
              <w:r>
                <w:rPr>
                  <w:rStyle w:val="InternetLink"/>
                  <w:rFonts w:ascii="Times New Roman;serif" w:hAnsi="Times New Roman;serif"/>
                  <w:b w:val="false"/>
                  <w:color w:val="0000FF"/>
                  <w:sz w:val="24"/>
                  <w:u w:val="single"/>
                </w:rPr>
                <w:t xml:space="preserve">Condensed Consolidated Statement of Income – </w:t>
              </w:r>
            </w:hyperlink>
            <w:r>
              <w:rPr>
                <w:rFonts w:ascii="Times New Roman;serif" w:hAnsi="Times New Roman;serif"/>
                <w:b w:val="false"/>
                <w:color w:val="000000"/>
                <w:sz w:val="24"/>
              </w:rPr>
              <w:br/>
            </w:r>
            <w:hyperlink w:anchor="i412bf32460d148378ad529c1f89c29a3_19">
              <w:r>
                <w:rPr>
                  <w:rStyle w:val="InternetLink"/>
                  <w:rFonts w:ascii="Times New Roman;serif" w:hAnsi="Times New Roman;serif"/>
                  <w:b w:val="false"/>
                  <w:color w:val="0000FF"/>
                  <w:sz w:val="24"/>
                  <w:u w:val="single"/>
                </w:rPr>
                <w:t>12 and 36 Weeks Ended September 5, 2026</w:t>
              </w:r>
            </w:hyperlink>
            <w:r>
              <w:rPr>
                <w:color w:val="000000"/>
              </w:rPr>
              <w:t xml:space="preserve"> </w:t>
            </w:r>
            <w:hyperlink w:anchor="i412bf32460d148378ad529c1f89c29a3_25">
              <w:r>
                <w:rPr>
                  <w:rStyle w:val="InternetLink"/>
                  <w:rFonts w:ascii="Times New Roman;serif" w:hAnsi="Times New Roman;serif"/>
                  <w:b w:val="false"/>
                  <w:color w:val="0000FF"/>
                  <w:sz w:val="24"/>
                  <w:u w:val="single"/>
                </w:rPr>
                <w:t>and September 6,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19">
              <w:r>
                <w:rPr>
                  <w:rStyle w:val="InternetLink"/>
                  <w:rFonts w:ascii="Times New Roman;serif" w:hAnsi="Times New Roman;serif"/>
                  <w:b w:val="false"/>
                  <w:color w:val="0000FF"/>
                  <w:sz w:val="24"/>
                  <w:u w:val="single"/>
                </w:rPr>
                <w:t>2</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2">
              <w:r>
                <w:rPr>
                  <w:rStyle w:val="InternetLink"/>
                  <w:rFonts w:ascii="Times New Roman;serif" w:hAnsi="Times New Roman;serif"/>
                  <w:b w:val="false"/>
                  <w:color w:val="0000FF"/>
                  <w:sz w:val="24"/>
                  <w:u w:val="single"/>
                </w:rPr>
                <w:t>Condensed Consolidated Statement of Comprehensive Income –</w:t>
              </w:r>
            </w:hyperlink>
            <w:r>
              <w:rPr>
                <w:rFonts w:ascii="Times New Roman;serif" w:hAnsi="Times New Roman;serif"/>
                <w:b w:val="false"/>
                <w:color w:val="000000"/>
                <w:sz w:val="24"/>
              </w:rPr>
              <w:br/>
            </w:r>
            <w:hyperlink w:anchor="i412bf32460d148378ad529c1f89c29a3_19">
              <w:r>
                <w:rPr>
                  <w:rStyle w:val="InternetLink"/>
                  <w:rFonts w:ascii="Times New Roman;serif" w:hAnsi="Times New Roman;serif"/>
                  <w:b w:val="false"/>
                  <w:color w:val="000080"/>
                  <w:sz w:val="24"/>
                  <w:u w:val="single"/>
                </w:rPr>
                <w:t>12</w:t>
              </w:r>
            </w:hyperlink>
            <w:hyperlink w:anchor="i412bf32460d148378ad529c1f89c29a3_22">
              <w:r>
                <w:rPr>
                  <w:rStyle w:val="InternetLink"/>
                  <w:rFonts w:ascii="Times New Roman;serif" w:hAnsi="Times New Roman;serif"/>
                  <w:b w:val="false"/>
                  <w:color w:val="000080"/>
                  <w:sz w:val="24"/>
                  <w:u w:val="single"/>
                </w:rPr>
                <w:t xml:space="preserve"> and </w:t>
              </w:r>
            </w:hyperlink>
            <w:hyperlink w:anchor="i412bf32460d148378ad529c1f89c29a3_22">
              <w:r>
                <w:rPr>
                  <w:rStyle w:val="InternetLink"/>
                  <w:rFonts w:ascii="Times New Roman;serif" w:hAnsi="Times New Roman;serif"/>
                  <w:b w:val="false"/>
                  <w:color w:val="000080"/>
                  <w:sz w:val="24"/>
                  <w:u w:val="single"/>
                </w:rPr>
                <w:t>36</w:t>
              </w:r>
            </w:hyperlink>
            <w:hyperlink w:anchor="i412bf32460d148378ad529c1f89c29a3_22">
              <w:r>
                <w:rPr>
                  <w:rStyle w:val="InternetLink"/>
                  <w:rFonts w:ascii="Times New Roman;serif" w:hAnsi="Times New Roman;serif"/>
                  <w:b w:val="false"/>
                  <w:color w:val="000080"/>
                  <w:sz w:val="24"/>
                  <w:u w:val="single"/>
                </w:rPr>
                <w:t xml:space="preserve"> Weeks Ended </w:t>
              </w:r>
            </w:hyperlink>
            <w:hyperlink w:anchor="i412bf32460d148378ad529c1f89c29a3_19">
              <w:r>
                <w:rPr>
                  <w:rStyle w:val="InternetLink"/>
                  <w:rFonts w:ascii="Times New Roman;serif" w:hAnsi="Times New Roman;serif"/>
                  <w:b w:val="false"/>
                  <w:color w:val="000080"/>
                  <w:sz w:val="24"/>
                  <w:u w:val="single"/>
                </w:rPr>
                <w:t>September 5, 2026</w:t>
              </w:r>
            </w:hyperlink>
            <w:hyperlink w:anchor="i412bf32460d148378ad529c1f89c29a3_25">
              <w:r>
                <w:rPr>
                  <w:rStyle w:val="InternetLink"/>
                  <w:rFonts w:ascii="Times New Roman;serif" w:hAnsi="Times New Roman;serif"/>
                  <w:b w:val="false"/>
                  <w:color w:val="000080"/>
                  <w:sz w:val="24"/>
                  <w:u w:val="single"/>
                </w:rPr>
                <w:t xml:space="preserve"> and September 6, 2025</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2">
              <w:r>
                <w:rPr>
                  <w:rStyle w:val="InternetLink"/>
                  <w:rFonts w:ascii="Times New Roman;serif" w:hAnsi="Times New Roman;serif"/>
                  <w:b w:val="false"/>
                  <w:color w:val="0000FF"/>
                  <w:sz w:val="24"/>
                  <w:u w:val="single"/>
                </w:rPr>
                <w:t>3</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5">
              <w:r>
                <w:rPr>
                  <w:rStyle w:val="InternetLink"/>
                  <w:rFonts w:ascii="Times New Roman;serif" w:hAnsi="Times New Roman;serif"/>
                  <w:b w:val="false"/>
                  <w:color w:val="0000FF"/>
                  <w:sz w:val="24"/>
                  <w:u w:val="single"/>
                </w:rPr>
                <w:t>Condensed Consolidated Statement of Cash Flows –</w:t>
              </w:r>
            </w:hyperlink>
            <w:r>
              <w:rPr>
                <w:rFonts w:ascii="Times New Roman;serif" w:hAnsi="Times New Roman;serif"/>
                <w:b w:val="false"/>
                <w:color w:val="000000"/>
                <w:sz w:val="24"/>
              </w:rPr>
              <w:br/>
            </w:r>
            <w:hyperlink w:anchor="i412bf32460d148378ad529c1f89c29a3_25">
              <w:r>
                <w:rPr>
                  <w:rStyle w:val="InternetLink"/>
                  <w:rFonts w:ascii="Times New Roman;serif" w:hAnsi="Times New Roman;serif"/>
                  <w:b w:val="false"/>
                  <w:color w:val="000080"/>
                  <w:sz w:val="24"/>
                  <w:u w:val="single"/>
                </w:rPr>
                <w:t xml:space="preserve">36 Weeks Ended </w:t>
              </w:r>
            </w:hyperlink>
            <w:hyperlink w:anchor="i412bf32460d148378ad529c1f89c29a3_19">
              <w:r>
                <w:rPr>
                  <w:rStyle w:val="InternetLink"/>
                  <w:rFonts w:ascii="Times New Roman;serif" w:hAnsi="Times New Roman;serif"/>
                  <w:b w:val="false"/>
                  <w:color w:val="000080"/>
                  <w:sz w:val="24"/>
                  <w:u w:val="single"/>
                </w:rPr>
                <w:t>September 5, 2026</w:t>
              </w:r>
            </w:hyperlink>
            <w:hyperlink w:anchor="i412bf32460d148378ad529c1f89c29a3_25">
              <w:r>
                <w:rPr>
                  <w:rStyle w:val="InternetLink"/>
                  <w:rFonts w:ascii="Times New Roman;serif" w:hAnsi="Times New Roman;serif"/>
                  <w:b w:val="false"/>
                  <w:color w:val="000080"/>
                  <w:sz w:val="24"/>
                  <w:u w:val="single"/>
                </w:rPr>
                <w:t xml:space="preserve"> and September 6,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5">
              <w:r>
                <w:rPr>
                  <w:rStyle w:val="InternetLink"/>
                  <w:rFonts w:ascii="Times New Roman;serif" w:hAnsi="Times New Roman;serif"/>
                  <w:b w:val="false"/>
                  <w:color w:val="0000FF"/>
                  <w:sz w:val="24"/>
                  <w:u w:val="single"/>
                </w:rPr>
                <w:t>4</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8">
              <w:r>
                <w:rPr>
                  <w:rStyle w:val="InternetLink"/>
                  <w:rFonts w:ascii="Times New Roman;serif" w:hAnsi="Times New Roman;serif"/>
                  <w:b w:val="false"/>
                  <w:color w:val="0000FF"/>
                  <w:sz w:val="24"/>
                  <w:u w:val="single"/>
                </w:rPr>
                <w:t>Condensed Consolidated Balance Sheet –</w:t>
              </w:r>
            </w:hyperlink>
            <w:r>
              <w:rPr>
                <w:rFonts w:ascii="Times New Roman;serif" w:hAnsi="Times New Roman;serif"/>
                <w:b w:val="false"/>
                <w:color w:val="000000"/>
                <w:sz w:val="24"/>
              </w:rPr>
              <w:br/>
            </w:r>
            <w:hyperlink w:anchor="i412bf32460d148378ad529c1f89c29a3_19">
              <w:r>
                <w:rPr>
                  <w:rStyle w:val="InternetLink"/>
                  <w:rFonts w:ascii="Times New Roman;serif" w:hAnsi="Times New Roman;serif"/>
                  <w:b w:val="false"/>
                  <w:color w:val="000080"/>
                  <w:sz w:val="24"/>
                  <w:u w:val="single"/>
                </w:rPr>
                <w:t>September 5, 2026</w:t>
              </w:r>
            </w:hyperlink>
            <w:hyperlink w:anchor="i412bf32460d148378ad529c1f89c29a3_28">
              <w:r>
                <w:rPr>
                  <w:rStyle w:val="InternetLink"/>
                  <w:rFonts w:ascii="Times New Roman;serif" w:hAnsi="Times New Roman;serif"/>
                  <w:b w:val="false"/>
                  <w:color w:val="000080"/>
                  <w:sz w:val="24"/>
                  <w:u w:val="single"/>
                </w:rPr>
                <w:t xml:space="preserve"> and December 27, 2025</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8">
              <w:r>
                <w:rPr>
                  <w:rStyle w:val="InternetLink"/>
                  <w:rFonts w:ascii="Times New Roman;serif" w:hAnsi="Times New Roman;serif"/>
                  <w:b w:val="false"/>
                  <w:color w:val="0000FF"/>
                  <w:sz w:val="24"/>
                  <w:u w:val="single"/>
                </w:rPr>
                <w:t>6</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34">
              <w:r>
                <w:rPr>
                  <w:rStyle w:val="InternetLink"/>
                  <w:rFonts w:ascii="Times New Roman;serif" w:hAnsi="Times New Roman;serif"/>
                  <w:b w:val="false"/>
                  <w:color w:val="0000FF"/>
                  <w:sz w:val="24"/>
                  <w:u w:val="single"/>
                </w:rPr>
                <w:t xml:space="preserve">Condensed Consolidated Statement of Equity – </w:t>
              </w:r>
            </w:hyperlink>
            <w:r>
              <w:rPr>
                <w:rFonts w:ascii="Times New Roman;serif" w:hAnsi="Times New Roman;serif"/>
                <w:b w:val="false"/>
                <w:color w:val="000000"/>
                <w:sz w:val="24"/>
              </w:rPr>
              <w:br/>
            </w:r>
            <w:hyperlink w:anchor="i412bf32460d148378ad529c1f89c29a3_19">
              <w:r>
                <w:rPr>
                  <w:rStyle w:val="InternetLink"/>
                  <w:rFonts w:ascii="Times New Roman;serif" w:hAnsi="Times New Roman;serif"/>
                  <w:b w:val="false"/>
                  <w:color w:val="000080"/>
                  <w:sz w:val="24"/>
                  <w:u w:val="single"/>
                </w:rPr>
                <w:t>12</w:t>
              </w:r>
            </w:hyperlink>
            <w:hyperlink w:anchor="i412bf32460d148378ad529c1f89c29a3_34">
              <w:r>
                <w:rPr>
                  <w:rStyle w:val="InternetLink"/>
                  <w:rFonts w:ascii="Times New Roman;serif" w:hAnsi="Times New Roman;serif"/>
                  <w:b w:val="false"/>
                  <w:color w:val="000080"/>
                  <w:sz w:val="24"/>
                  <w:u w:val="single"/>
                </w:rPr>
                <w:t xml:space="preserve"> and </w:t>
              </w:r>
            </w:hyperlink>
            <w:hyperlink w:anchor="i412bf32460d148378ad529c1f89c29a3_34">
              <w:r>
                <w:rPr>
                  <w:rStyle w:val="InternetLink"/>
                  <w:rFonts w:ascii="Times New Roman;serif" w:hAnsi="Times New Roman;serif"/>
                  <w:b w:val="false"/>
                  <w:color w:val="000080"/>
                  <w:sz w:val="24"/>
                  <w:u w:val="single"/>
                </w:rPr>
                <w:t>36</w:t>
              </w:r>
            </w:hyperlink>
            <w:hyperlink w:anchor="i412bf32460d148378ad529c1f89c29a3_34">
              <w:r>
                <w:rPr>
                  <w:rStyle w:val="InternetLink"/>
                  <w:rFonts w:ascii="Times New Roman;serif" w:hAnsi="Times New Roman;serif"/>
                  <w:b w:val="false"/>
                  <w:color w:val="000080"/>
                  <w:sz w:val="24"/>
                  <w:u w:val="single"/>
                </w:rPr>
                <w:t xml:space="preserve"> Weeks Ended </w:t>
              </w:r>
            </w:hyperlink>
            <w:hyperlink w:anchor="i412bf32460d148378ad529c1f89c29a3_19">
              <w:r>
                <w:rPr>
                  <w:rStyle w:val="InternetLink"/>
                  <w:rFonts w:ascii="Times New Roman;serif" w:hAnsi="Times New Roman;serif"/>
                  <w:b w:val="false"/>
                  <w:color w:val="000080"/>
                  <w:sz w:val="24"/>
                  <w:u w:val="single"/>
                </w:rPr>
                <w:t>September 5, 2026</w:t>
              </w:r>
            </w:hyperlink>
            <w:hyperlink w:anchor="i412bf32460d148378ad529c1f89c29a3_25">
              <w:r>
                <w:rPr>
                  <w:rStyle w:val="InternetLink"/>
                  <w:rFonts w:ascii="Times New Roman;serif" w:hAnsi="Times New Roman;serif"/>
                  <w:b w:val="false"/>
                  <w:color w:val="000080"/>
                  <w:sz w:val="24"/>
                  <w:u w:val="single"/>
                </w:rPr>
                <w:t xml:space="preserve"> and September 6, 2025</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34">
              <w:r>
                <w:rPr>
                  <w:rStyle w:val="InternetLink"/>
                  <w:rFonts w:ascii="Times New Roman;serif" w:hAnsi="Times New Roman;serif"/>
                  <w:b w:val="false"/>
                  <w:color w:val="0000FF"/>
                  <w:sz w:val="24"/>
                  <w:u w:val="single"/>
                </w:rPr>
                <w:t>7</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37">
              <w:r>
                <w:rPr>
                  <w:rStyle w:val="InternetLink"/>
                  <w:rFonts w:ascii="Times New Roman;serif" w:hAnsi="Times New Roman;serif"/>
                  <w:b w:val="false"/>
                  <w:color w:val="0000FF"/>
                  <w:sz w:val="24"/>
                  <w:u w:val="single"/>
                </w:rPr>
                <w:t>Notes to the Condensed Consolidated Financial Statements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37">
              <w:r>
                <w:rPr>
                  <w:rStyle w:val="InternetLink"/>
                  <w:rFonts w:ascii="Times New Roman;serif" w:hAnsi="Times New Roman;serif"/>
                  <w:b w:val="false"/>
                  <w:color w:val="0000FF"/>
                  <w:sz w:val="24"/>
                  <w:u w:val="single"/>
                </w:rPr>
                <w:t>8</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12bf32460d148378ad529c1f89c29a3_127">
              <w:r>
                <w:rPr>
                  <w:rStyle w:val="InternetLink"/>
                  <w:rFonts w:ascii="Times New Roman;serif" w:hAnsi="Times New Roman;serif"/>
                  <w:b w:val="false"/>
                  <w:color w:val="0000FF"/>
                  <w:sz w:val="24"/>
                  <w:u w:val="single"/>
                </w:rPr>
                <w:t>Management’s Discussion and Analysis of Financial Condition and Results of Operations</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127">
              <w:r>
                <w:rPr>
                  <w:rStyle w:val="InternetLink"/>
                  <w:rFonts w:ascii="Times New Roman;serif" w:hAnsi="Times New Roman;serif"/>
                  <w:b w:val="false"/>
                  <w:color w:val="0000FF"/>
                  <w:sz w:val="24"/>
                  <w:u w:val="single"/>
                </w:rPr>
                <w:t>32</w:t>
              </w:r>
            </w:hyperlink>
          </w:p>
        </w:tc>
      </w:tr>
      <w:tr>
        <w:trPr/>
        <w:tc>
          <w:tcPr>
            <w:tcW w:w="916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Report of Independent Registered Public Accounting Firm</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14">
              <w:r>
                <w:rPr>
                  <w:rStyle w:val="InternetLink"/>
                  <w:rFonts w:ascii="Times New Roman;serif" w:hAnsi="Times New Roman;serif"/>
                  <w:b w:val="false"/>
                  <w:color w:val="0000FF"/>
                  <w:sz w:val="24"/>
                  <w:u w:val="single"/>
                </w:rPr>
                <w:t>50</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3.</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17">
              <w:r>
                <w:rPr>
                  <w:rStyle w:val="InternetLink"/>
                  <w:rFonts w:ascii="Times New Roman;serif" w:hAnsi="Times New Roman;serif"/>
                  <w:b w:val="false"/>
                  <w:color w:val="0000FF"/>
                  <w:sz w:val="24"/>
                  <w:u w:val="single"/>
                </w:rPr>
                <w:t>Quantitative and Qualitative Disclosures About Market Risk</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17">
              <w:r>
                <w:rPr>
                  <w:rStyle w:val="InternetLink"/>
                  <w:rFonts w:ascii="Times New Roman;serif" w:hAnsi="Times New Roman;serif"/>
                  <w:b w:val="false"/>
                  <w:color w:val="0000FF"/>
                  <w:sz w:val="24"/>
                  <w:u w:val="single"/>
                </w:rPr>
                <w:t>51</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4.</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20">
              <w:r>
                <w:rPr>
                  <w:rStyle w:val="InternetLink"/>
                  <w:rFonts w:ascii="Times New Roman;serif" w:hAnsi="Times New Roman;serif"/>
                  <w:b w:val="false"/>
                  <w:color w:val="0000FF"/>
                  <w:sz w:val="24"/>
                  <w:u w:val="single"/>
                </w:rPr>
                <w:t>Controls and Procedures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20">
              <w:r>
                <w:rPr>
                  <w:rStyle w:val="InternetLink"/>
                  <w:rFonts w:ascii="Times New Roman;serif" w:hAnsi="Times New Roman;serif"/>
                  <w:b w:val="false"/>
                  <w:color w:val="0000FF"/>
                  <w:sz w:val="24"/>
                  <w:u w:val="single"/>
                </w:rPr>
                <w:t>51</w:t>
              </w:r>
            </w:hyperlink>
          </w:p>
        </w:tc>
      </w:tr>
      <w:tr>
        <w:trPr/>
        <w:tc>
          <w:tcPr>
            <w:tcW w:w="916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 II Other Information</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26">
              <w:r>
                <w:rPr>
                  <w:rStyle w:val="InternetLink"/>
                  <w:rFonts w:ascii="Times New Roman;serif" w:hAnsi="Times New Roman;serif"/>
                  <w:b w:val="false"/>
                  <w:color w:val="0000FF"/>
                  <w:sz w:val="24"/>
                  <w:u w:val="single"/>
                </w:rPr>
                <w:t>Legal Proceedings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26">
              <w:r>
                <w:rPr>
                  <w:rStyle w:val="InternetLink"/>
                  <w:rFonts w:ascii="Times New Roman;serif" w:hAnsi="Times New Roman;serif"/>
                  <w:b w:val="false"/>
                  <w:color w:val="0000FF"/>
                  <w:sz w:val="24"/>
                  <w:u w:val="single"/>
                </w:rPr>
                <w:t>52</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1A.</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29">
              <w:r>
                <w:rPr>
                  <w:rStyle w:val="InternetLink"/>
                  <w:rFonts w:ascii="Times New Roman;serif" w:hAnsi="Times New Roman;serif"/>
                  <w:b w:val="false"/>
                  <w:color w:val="0000FF"/>
                  <w:sz w:val="24"/>
                  <w:u w:val="single"/>
                </w:rPr>
                <w:t>Risk Factors</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29">
              <w:r>
                <w:rPr>
                  <w:rStyle w:val="InternetLink"/>
                  <w:rFonts w:ascii="Times New Roman;serif" w:hAnsi="Times New Roman;serif"/>
                  <w:b w:val="false"/>
                  <w:color w:val="0000FF"/>
                  <w:sz w:val="24"/>
                  <w:u w:val="single"/>
                </w:rPr>
                <w:t>52</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32">
              <w:r>
                <w:rPr>
                  <w:rStyle w:val="InternetLink"/>
                  <w:rFonts w:ascii="Times New Roman;serif" w:hAnsi="Times New Roman;serif"/>
                  <w:b w:val="false"/>
                  <w:color w:val="0000FF"/>
                  <w:sz w:val="24"/>
                  <w:u w:val="single"/>
                </w:rPr>
                <w:t>Unregistered Sales of Equity Securities and Use of Proceeds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32">
              <w:r>
                <w:rPr>
                  <w:rStyle w:val="InternetLink"/>
                  <w:rFonts w:ascii="Times New Roman;serif" w:hAnsi="Times New Roman;serif"/>
                  <w:b w:val="false"/>
                  <w:color w:val="0000FF"/>
                  <w:sz w:val="24"/>
                  <w:u w:val="single"/>
                </w:rPr>
                <w:t>52</w:t>
              </w:r>
            </w:hyperlink>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5.</w:t>
            </w:r>
          </w:p>
        </w:tc>
        <w:tc>
          <w:tcPr>
            <w:tcW w:w="7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35">
              <w:r>
                <w:rPr>
                  <w:rStyle w:val="InternetLink"/>
                  <w:rFonts w:ascii="Times New Roman;serif" w:hAnsi="Times New Roman;serif"/>
                  <w:b w:val="false"/>
                  <w:color w:val="0000FF"/>
                  <w:sz w:val="24"/>
                  <w:u w:val="single"/>
                </w:rPr>
                <w:t>Other Information</w:t>
              </w:r>
            </w:hyperlink>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35">
              <w:r>
                <w:rPr>
                  <w:rStyle w:val="InternetLink"/>
                  <w:rFonts w:ascii="Times New Roman;serif" w:hAnsi="Times New Roman;serif"/>
                  <w:b w:val="false"/>
                  <w:color w:val="0000FF"/>
                  <w:sz w:val="24"/>
                  <w:u w:val="single"/>
                </w:rPr>
                <w:t>53</w:t>
              </w:r>
            </w:hyperlink>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6.</w:t>
            </w:r>
          </w:p>
        </w:tc>
        <w:tc>
          <w:tcPr>
            <w:tcW w:w="7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bf32460d148378ad529c1f89c29a3_238">
              <w:r>
                <w:rPr>
                  <w:rStyle w:val="InternetLink"/>
                  <w:rFonts w:ascii="Times New Roman;serif" w:hAnsi="Times New Roman;serif"/>
                  <w:b w:val="false"/>
                  <w:color w:val="0000FF"/>
                  <w:sz w:val="24"/>
                  <w:u w:val="single"/>
                </w:rPr>
                <w:t>Exhibits</w:t>
              </w:r>
            </w:hyperlink>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2bf32460d148378ad529c1f89c29a3_238">
              <w:r>
                <w:rPr>
                  <w:rStyle w:val="InternetLink"/>
                  <w:rFonts w:ascii="Times New Roman;serif" w:hAnsi="Times New Roman;serif"/>
                  <w:b w:val="false"/>
                  <w:color w:val="0000FF"/>
                  <w:sz w:val="24"/>
                  <w:u w:val="single"/>
                </w:rPr>
                <w:t>53</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Income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pPr>
      <w:r>
        <w:rPr>
          <w:rFonts w:ascii="Times New Roman;serif" w:hAnsi="Times New Roman;serif"/>
          <w:b w:val="false"/>
          <w:color w:val="000000"/>
          <w:sz w:val="24"/>
        </w:rPr>
        <w:t>(in millions,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719"/>
        <w:gridCol w:w="1401"/>
        <w:gridCol w:w="1413"/>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171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 Weeks Ended</w:t>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25,274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68,898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64,582 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31,302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37,596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26,100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of intangible assets (see Notes 1 and 4)</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4,260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pension and retiree medical benefits (expense)/income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interest expense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10,726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 Attributable to PepsiCo</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 Attributable to PepsiCo per Common Share</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Weighted-average common shares outstanding</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Comprehensive Income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center"/>
        <w:tblInd w:w="0" w:type="dxa"/>
        <w:tblLayout w:type="fixed"/>
        <w:tblCellMar>
          <w:top w:w="28" w:type="dxa"/>
          <w:left w:w="28" w:type="dxa"/>
          <w:bottom w:w="28" w:type="dxa"/>
          <w:right w:w="28" w:type="dxa"/>
        </w:tblCellMar>
      </w:tblPr>
      <w:tblGrid>
        <w:gridCol w:w="1832"/>
        <w:gridCol w:w="1584"/>
        <w:gridCol w:w="1597"/>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6"/>
      </w:tblGrid>
      <w:tr>
        <w:trPr/>
        <w:tc>
          <w:tcPr>
            <w:tcW w:w="183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 Weeks Ended</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(loss)/income, net of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change on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pension and retiree medical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change on available-for-sale debt securities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comprehensive (loss)/income, net of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Comprehensive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8,449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Comprehensive income attributable to</w:t>
              <w:b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Comprehensive Income Attributable to PepsiCo</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8,393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Cash Flows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center"/>
        <w:tblInd w:w="0" w:type="dxa"/>
        <w:tblLayout w:type="fixed"/>
        <w:tblCellMar>
          <w:top w:w="28" w:type="dxa"/>
          <w:left w:w="28" w:type="dxa"/>
          <w:bottom w:w="28" w:type="dxa"/>
          <w:right w:w="28" w:type="dxa"/>
        </w:tblCellMar>
      </w:tblPr>
      <w:tblGrid>
        <w:gridCol w:w="2947"/>
        <w:gridCol w:w="2362"/>
        <w:gridCol w:w="2373"/>
        <w:gridCol w:w="226"/>
        <w:gridCol w:w="706"/>
        <w:gridCol w:w="109"/>
        <w:gridCol w:w="109"/>
        <w:gridCol w:w="109"/>
        <w:gridCol w:w="109"/>
        <w:gridCol w:w="226"/>
        <w:gridCol w:w="706"/>
        <w:gridCol w:w="223"/>
      </w:tblGrid>
      <w:tr>
        <w:trPr/>
        <w:tc>
          <w:tcPr>
            <w:tcW w:w="294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 Weeks Ended</w:t>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and other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Restructuring and impairment charges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bookmarkStart w:id="1" w:name="ib6595c88d06c456a89a973c79b24bf3a_13-0-1"/>
            <w:bookmarkEnd w:id="1"/>
            <w:r>
              <w:rPr>
                <w:rFonts w:ascii="Times New Roman;serif" w:hAnsi="Times New Roman;serif"/>
                <w:b w:val="false"/>
                <w:color w:val="000000"/>
                <w:sz w:val="22"/>
              </w:rPr>
              <w:t>Acquisition and divestiture-related charges/credits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acquisition and divestiture-related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 and other tax charges/credits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payments related to the Tax Cuts and Jobs Act (TCJ Act)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and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(1,747)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5,468 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spending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(2,499)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net of cash acquired, investments in noncontrolled affiliates and purchases of intangible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(3,176)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investments, by original maturity: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maturities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investing,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Investing Activities</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(2,347)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(5,237)</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(Continued on following page)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Cash Flows (continued)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unaudited)</w:t>
      </w:r>
    </w:p>
    <w:tbl>
      <w:tblPr>
        <w:tblW w:w="10205" w:type="dxa"/>
        <w:jc w:val="left"/>
        <w:tblInd w:w="0" w:type="dxa"/>
        <w:tblLayout w:type="fixed"/>
        <w:tblCellMar>
          <w:top w:w="28" w:type="dxa"/>
          <w:left w:w="28" w:type="dxa"/>
          <w:bottom w:w="28" w:type="dxa"/>
          <w:right w:w="28" w:type="dxa"/>
        </w:tblCellMar>
      </w:tblPr>
      <w:tblGrid>
        <w:gridCol w:w="2798"/>
        <w:gridCol w:w="2374"/>
        <w:gridCol w:w="2391"/>
        <w:gridCol w:w="226"/>
        <w:gridCol w:w="826"/>
        <w:gridCol w:w="109"/>
        <w:gridCol w:w="109"/>
        <w:gridCol w:w="109"/>
        <w:gridCol w:w="109"/>
        <w:gridCol w:w="226"/>
        <w:gridCol w:w="706"/>
        <w:gridCol w:w="222"/>
      </w:tblGrid>
      <w:tr>
        <w:trPr/>
        <w:tc>
          <w:tcPr>
            <w:tcW w:w="279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 Weeks Ended</w:t>
            </w:r>
          </w:p>
        </w:tc>
      </w:tr>
      <w:tr>
        <w:trPr/>
        <w:tc>
          <w:tcPr>
            <w:tcW w:w="7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issuances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borrowings, by original maturity: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proceeds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5,528 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(5,417)</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(5,692)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exercises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 payments on restricted stock units (RSUs) and performance stock units (PSUs) converted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financing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(1,008)</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exchange rate changes on cash and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Increase/(Decrease) in Cash and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8,553 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10,728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8,171 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Non-Cash Activity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Right-of-use assets obtained in exchange for lease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 obtained for certain assets (see Notes 4 and 8)</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Balance Sheet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935"/>
        <w:gridCol w:w="2394"/>
        <w:gridCol w:w="2405"/>
        <w:gridCol w:w="196"/>
        <w:gridCol w:w="751"/>
        <w:gridCol w:w="109"/>
        <w:gridCol w:w="109"/>
        <w:gridCol w:w="109"/>
        <w:gridCol w:w="109"/>
        <w:gridCol w:w="196"/>
        <w:gridCol w:w="736"/>
        <w:gridCol w:w="156"/>
      </w:tblGrid>
      <w:tr>
        <w:trPr/>
        <w:tc>
          <w:tcPr>
            <w:tcW w:w="2935"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12/27/2025</w:t>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less allowance ($222 and $230,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packaging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32,559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Amortizable 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Indefinite-Lived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Noncontrolled Affiliates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PepsiCo Common 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Common stock, par value 1</w:t>
            </w:r>
            <w:r>
              <w:rPr>
                <w:rFonts w:ascii="Times New Roman;serif" w:hAnsi="Times New Roman;serif"/>
                <w:b w:val="false"/>
                <w:color w:val="000000"/>
                <w:sz w:val="12"/>
              </w:rPr>
              <w:t>2</w:t>
            </w:r>
            <w:r>
              <w:rPr>
                <w:rFonts w:ascii="Times New Roman;serif" w:hAnsi="Times New Roman;serif"/>
                <w:b w:val="false"/>
                <w:color w:val="000000"/>
                <w:sz w:val="18"/>
              </w:rPr>
              <w:t>/</w:t>
            </w:r>
            <w:r>
              <w:rPr>
                <w:rFonts w:ascii="Times New Roman;serif" w:hAnsi="Times New Roman;serif"/>
                <w:b w:val="false"/>
                <w:color w:val="000000"/>
                <w:sz w:val="12"/>
              </w:rPr>
              <w:t>3</w:t>
            </w:r>
            <w:r>
              <w:rPr>
                <w:rFonts w:ascii="Times New Roman;serif" w:hAnsi="Times New Roman;serif"/>
                <w:b w:val="false"/>
                <w:color w:val="000000"/>
                <w:sz w:val="18"/>
              </w:rPr>
              <w:t>¢ per share (authorized 3,600 shares; issued, net of repurchased common stock at par value: 1,364 and 1,367 shares,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Repurchased common stock, in excess of par value (503 and 500 shares,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 of Equity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PepsiCo, Inc. and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millions, except per share amounts, unaudited)</w:t>
      </w:r>
    </w:p>
    <w:tbl>
      <w:tblPr>
        <w:tblW w:w="10557" w:type="dxa"/>
        <w:jc w:val="left"/>
        <w:tblInd w:w="0" w:type="dxa"/>
        <w:tblLayout w:type="fixed"/>
        <w:tblCellMar>
          <w:top w:w="28" w:type="dxa"/>
          <w:left w:w="28" w:type="dxa"/>
          <w:bottom w:w="28" w:type="dxa"/>
          <w:right w:w="28" w:type="dxa"/>
        </w:tblCellMar>
      </w:tblPr>
      <w:tblGrid>
        <w:gridCol w:w="784"/>
        <w:gridCol w:w="268"/>
        <w:gridCol w:w="269"/>
        <w:gridCol w:w="285"/>
        <w:gridCol w:w="286"/>
        <w:gridCol w:w="211"/>
        <w:gridCol w:w="109"/>
        <w:gridCol w:w="109"/>
        <w:gridCol w:w="109"/>
        <w:gridCol w:w="196"/>
        <w:gridCol w:w="661"/>
        <w:gridCol w:w="109"/>
        <w:gridCol w:w="109"/>
        <w:gridCol w:w="109"/>
        <w:gridCol w:w="109"/>
        <w:gridCol w:w="278"/>
        <w:gridCol w:w="278"/>
        <w:gridCol w:w="196"/>
        <w:gridCol w:w="109"/>
        <w:gridCol w:w="109"/>
        <w:gridCol w:w="109"/>
        <w:gridCol w:w="196"/>
        <w:gridCol w:w="646"/>
        <w:gridCol w:w="109"/>
        <w:gridCol w:w="109"/>
        <w:gridCol w:w="109"/>
        <w:gridCol w:w="109"/>
        <w:gridCol w:w="285"/>
        <w:gridCol w:w="286"/>
        <w:gridCol w:w="211"/>
        <w:gridCol w:w="109"/>
        <w:gridCol w:w="109"/>
        <w:gridCol w:w="109"/>
        <w:gridCol w:w="196"/>
        <w:gridCol w:w="661"/>
        <w:gridCol w:w="109"/>
        <w:gridCol w:w="109"/>
        <w:gridCol w:w="109"/>
        <w:gridCol w:w="109"/>
        <w:gridCol w:w="278"/>
        <w:gridCol w:w="278"/>
        <w:gridCol w:w="196"/>
        <w:gridCol w:w="109"/>
        <w:gridCol w:w="109"/>
        <w:gridCol w:w="109"/>
        <w:gridCol w:w="196"/>
        <w:gridCol w:w="64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 Weeks Ended</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9/6/2025</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1,366</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1,367</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repurchased common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1,364</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1,364</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in Excess of Par Value</w:t>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 RSUs and PSUs converted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 on RSUs and PSUs converted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Retained Earnings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dividends declared </w:t>
            </w:r>
            <w:r>
              <w:rPr>
                <w:rFonts w:ascii="Times New Roman;serif" w:hAnsi="Times New Roman;serif"/>
                <w:b w:val="false"/>
                <w:color w:val="000000"/>
                <w:sz w:val="12"/>
              </w:rPr>
              <w:t>(a)</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(loss)/income attributable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PepsiCo</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Repurchased Common Stock</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 exercises, RSUs and PSUs converted</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(a)Cash dividends declared per common share were $1.4800 and $1.4225 for the 12 weeks ended September 5, 2026 and September 6, 2025, respectively, and $4.3825 and $4.2000 for the 36 weeks ended September 5, 2026 and September 6, 2025, respectively. </w:t>
      </w:r>
    </w:p>
    <w:p>
      <w:pPr>
        <w:pStyle w:val="TextBody"/>
        <w:bidi w:val="0"/>
        <w:spacing w:before="8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4"/>
        </w:rPr>
      </w:pPr>
      <w:r>
        <w:rPr>
          <w:rFonts w:ascii="Times New Roman;serif" w:hAnsi="Times New Roman;serif"/>
          <w:b/>
          <w:color w:val="000000"/>
          <w:sz w:val="24"/>
        </w:rPr>
        <w:t>Note 1 - Basis of Presentation and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Basis of Presentation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When used in this report, the terms “we,” “us,” “our,” “PepsiCo” and the “Company” mean PepsiCo, Inc. and its consolidated subsidiaries, collectively.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accompanying unaudited condensed consolidated financial statements have been prepared in accordance with U.S. Generally Accepted Accounting Principles (GAAP) for interim financial information and with the rules and regulations for reporting the Quarterly Report on Form 10-Q (Form 10-Q). Accordingly, they do not include all of the information and footnotes required by GAAP for complete financial statements. We have subsidiaries operating in highly inflationary economies, such as Argentina, Egypt and Turkey, and accordingly apply highly inflationary accounting for these subsidiaries. The condensed consolidated balance sheet at December 27, 2025 has been derived from the audited consolidated financial statements at that date, but does not include all of the information and footnotes required by GAAP for complete financial statements. These financial statements have been prepared on a basis that is substantially consistent with the accounting principles applied in our Annual Report on Form 10-K for the fiscal year ended December 27, 2025 (2025 Form 10-K). This report should be read in conjunction with our 2025 Form 10-K. In our opinion, these financial statements include all normal and recurring adjustments necessary for a fair presentation. The results for the 12 and 36 weeks ended September 5, 2026 are not necessarily indicative of the results expected for any future period or the full year.</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Raw materials, direct labor and plant overhead, as well as purchasing and receiving costs, costs directly related to production planning, inspection costs and raw materials handling facilities, are included in cost of sales. The costs of moving, storing and delivering finished product, including merchandising activities, are included in selling, general and administrative expenses.</w:t>
      </w:r>
    </w:p>
    <w:p>
      <w:pPr>
        <w:pStyle w:val="TextBody"/>
        <w:bidi w:val="0"/>
        <w:spacing w:lineRule="auto" w:line="288" w:before="120" w:after="120"/>
        <w:jc w:val="both"/>
        <w:rPr/>
      </w:pPr>
      <w:r>
        <w:rPr>
          <w:rFonts w:ascii="Times New Roman;serif" w:hAnsi="Times New Roman;serif"/>
          <w:b w:val="false"/>
          <w:color w:val="000000"/>
          <w:sz w:val="24"/>
        </w:rPr>
        <w:t>While our financial results in the United States and Canada (North America) are reported on a 12-week basis, all of our international operations are reported on a monthly calendar basis for which the months of June, July and August are reflected in our results for the 12 weeks ended</w:t>
      </w:r>
      <w:r>
        <w:rPr>
          <w:color w:val="000000"/>
        </w:rPr>
        <w:t xml:space="preserve"> </w:t>
      </w:r>
      <w:r>
        <w:rPr>
          <w:rFonts w:ascii="Times New Roman;serif" w:hAnsi="Times New Roman;serif"/>
          <w:b w:val="false"/>
          <w:color w:val="000000"/>
          <w:sz w:val="24"/>
        </w:rPr>
        <w:t>September 5, 2026 and September 6, 2025 and the months of January through August are reflected in our results for the 36 weeks ended September 5, 2026 and September 6,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preparation of our condensed consolidated financial statements requires management to make estimates and assumptions that affect the amounts reported in our condensed consolidated financial statements and related disclosures. Additionally, the business and economic uncertainty resulting from volatile geopolitical conditions, an increasingly complex global tax environment, including changes in how existing laws are interpreted or enforced, expanded or retaliatory tariffs and changes in the interest rate and inflationary cost environment have made such estimates and assumptions more difficult to calculate. Accordingly, actual results and outcomes could differ from those estimates.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Our significant interim accounting policies include the recognition of a pro rata share of certain estimated annual sales incentives and certain advertising and marketing costs in proportion to revenue or volume, as applicable, and the recognition of income taxes using an estimated annual effective tax rate.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Unless otherwise noted, tabular dollars are in millions, except per share amounts. All per share amounts reflect common per share amounts, assume dilution unless otherwise noted, and are based on unrounded amounts. Certain reclassifications were made to the prior year’s financial statements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Our Segments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are organized into six reportable segments, as follows:</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1)PepsiCo Foods North America (PFNA), which includes all of our convenient food businesses in the United States and Canada;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2)PepsiCo Beverages North America (PBNA), which includes all of our beverage businesses in the United States and Canada;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3)International Beverages Franchise (IB Franchise), which includes our international franchise beverage businesses, as well as our SodaStream business;</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4)Europe, Middle East and Africa (EMEA), which includes our convenient food businesses and our beverage businesses with company-owned bottlers in Europe, the Middle East and Africa;</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5)Latin America Foods (LatAm Foods), which includes all of our convenient food businesses in Latin America; and</w:t>
      </w:r>
    </w:p>
    <w:p>
      <w:pPr>
        <w:pStyle w:val="TextBody"/>
        <w:bidi w:val="0"/>
        <w:spacing w:lineRule="auto" w:line="288" w:before="12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6)Asia Pacific Foods, which consists of our convenient food businesses in Asia Pacific, including China, Australia and New Zealand, as well as India.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Net Revenue, Significant Expenses and Operating Profit by Segment</w:t>
      </w:r>
    </w:p>
    <w:tbl>
      <w:tblPr>
        <w:tblW w:w="10205" w:type="dxa"/>
        <w:jc w:val="left"/>
        <w:tblInd w:w="0" w:type="dxa"/>
        <w:tblLayout w:type="fixed"/>
        <w:tblCellMar>
          <w:top w:w="28" w:type="dxa"/>
          <w:left w:w="28" w:type="dxa"/>
          <w:bottom w:w="28" w:type="dxa"/>
          <w:right w:w="28" w:type="dxa"/>
        </w:tblCellMar>
      </w:tblPr>
      <w:tblGrid>
        <w:gridCol w:w="954"/>
        <w:gridCol w:w="272"/>
        <w:gridCol w:w="273"/>
        <w:gridCol w:w="211"/>
        <w:gridCol w:w="616"/>
        <w:gridCol w:w="109"/>
        <w:gridCol w:w="109"/>
        <w:gridCol w:w="109"/>
        <w:gridCol w:w="109"/>
        <w:gridCol w:w="211"/>
        <w:gridCol w:w="616"/>
        <w:gridCol w:w="109"/>
        <w:gridCol w:w="109"/>
        <w:gridCol w:w="109"/>
        <w:gridCol w:w="109"/>
        <w:gridCol w:w="214"/>
        <w:gridCol w:w="625"/>
        <w:gridCol w:w="111"/>
        <w:gridCol w:w="109"/>
        <w:gridCol w:w="109"/>
        <w:gridCol w:w="109"/>
        <w:gridCol w:w="211"/>
        <w:gridCol w:w="616"/>
        <w:gridCol w:w="109"/>
        <w:gridCol w:w="109"/>
        <w:gridCol w:w="109"/>
        <w:gridCol w:w="109"/>
        <w:gridCol w:w="212"/>
        <w:gridCol w:w="620"/>
        <w:gridCol w:w="109"/>
        <w:gridCol w:w="109"/>
        <w:gridCol w:w="109"/>
        <w:gridCol w:w="109"/>
        <w:gridCol w:w="214"/>
        <w:gridCol w:w="627"/>
        <w:gridCol w:w="110"/>
        <w:gridCol w:w="109"/>
        <w:gridCol w:w="109"/>
        <w:gridCol w:w="109"/>
        <w:gridCol w:w="211"/>
        <w:gridCol w:w="721"/>
        <w:gridCol w:w="162"/>
      </w:tblGrid>
      <w:tr>
        <w:trPr/>
        <w:tc>
          <w:tcPr>
            <w:tcW w:w="9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 9/5/2026</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2" w:name="i44d12f70f246421f82a83e843ed84282_6-0-1-"/>
            <w:bookmarkEnd w:id="2"/>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956"/>
        <w:gridCol w:w="276"/>
        <w:gridCol w:w="277"/>
        <w:gridCol w:w="211"/>
        <w:gridCol w:w="616"/>
        <w:gridCol w:w="109"/>
        <w:gridCol w:w="109"/>
        <w:gridCol w:w="109"/>
        <w:gridCol w:w="109"/>
        <w:gridCol w:w="211"/>
        <w:gridCol w:w="616"/>
        <w:gridCol w:w="109"/>
        <w:gridCol w:w="109"/>
        <w:gridCol w:w="109"/>
        <w:gridCol w:w="109"/>
        <w:gridCol w:w="212"/>
        <w:gridCol w:w="619"/>
        <w:gridCol w:w="109"/>
        <w:gridCol w:w="109"/>
        <w:gridCol w:w="109"/>
        <w:gridCol w:w="109"/>
        <w:gridCol w:w="211"/>
        <w:gridCol w:w="616"/>
        <w:gridCol w:w="109"/>
        <w:gridCol w:w="109"/>
        <w:gridCol w:w="109"/>
        <w:gridCol w:w="109"/>
        <w:gridCol w:w="212"/>
        <w:gridCol w:w="620"/>
        <w:gridCol w:w="109"/>
        <w:gridCol w:w="109"/>
        <w:gridCol w:w="109"/>
        <w:gridCol w:w="109"/>
        <w:gridCol w:w="214"/>
        <w:gridCol w:w="627"/>
        <w:gridCol w:w="111"/>
        <w:gridCol w:w="109"/>
        <w:gridCol w:w="109"/>
        <w:gridCol w:w="109"/>
        <w:gridCol w:w="211"/>
        <w:gridCol w:w="721"/>
        <w:gridCol w:w="161"/>
      </w:tblGrid>
      <w:tr>
        <w:trPr/>
        <w:tc>
          <w:tcPr>
            <w:tcW w:w="9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Weeks Ended 9/6/2025</w:t>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and other charges </w:t>
            </w:r>
            <w:r>
              <w:rPr>
                <w:rFonts w:ascii="Times New Roman;serif" w:hAnsi="Times New Roman;serif"/>
                <w:b w:val="false"/>
                <w:color w:val="000000"/>
                <w:sz w:val="13"/>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hanging="360"/>
              <w:jc w:val="left"/>
              <w:rPr/>
            </w:pPr>
            <w:r>
              <w:rPr>
                <w:rFonts w:ascii="Times New Roman;serif" w:hAnsi="Times New Roman;serif"/>
                <w:b w:val="false"/>
                <w:color w:val="000000"/>
                <w:sz w:val="20"/>
              </w:rPr>
              <w:t xml:space="preserve">Indirect and income tax impact </w:t>
            </w:r>
            <w:r>
              <w:rPr>
                <w:rFonts w:ascii="Times New Roman;serif" w:hAnsi="Times New Roman;serif"/>
                <w:b w:val="false"/>
                <w:color w:val="000000"/>
                <w:sz w:val="13"/>
              </w:rPr>
              <w: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5" w:type="dxa"/>
        <w:jc w:val="left"/>
        <w:tblInd w:w="0" w:type="dxa"/>
        <w:tblLayout w:type="fixed"/>
        <w:tblCellMar>
          <w:top w:w="28" w:type="dxa"/>
          <w:left w:w="28" w:type="dxa"/>
          <w:bottom w:w="28" w:type="dxa"/>
          <w:right w:w="28" w:type="dxa"/>
        </w:tblCellMar>
      </w:tblPr>
      <w:tblGrid>
        <w:gridCol w:w="937"/>
        <w:gridCol w:w="244"/>
        <w:gridCol w:w="245"/>
        <w:gridCol w:w="211"/>
        <w:gridCol w:w="721"/>
        <w:gridCol w:w="109"/>
        <w:gridCol w:w="109"/>
        <w:gridCol w:w="109"/>
        <w:gridCol w:w="109"/>
        <w:gridCol w:w="211"/>
        <w:gridCol w:w="721"/>
        <w:gridCol w:w="109"/>
        <w:gridCol w:w="109"/>
        <w:gridCol w:w="109"/>
        <w:gridCol w:w="109"/>
        <w:gridCol w:w="213"/>
        <w:gridCol w:w="622"/>
        <w:gridCol w:w="111"/>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 9/5/2026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3" w:name="ic0d7409eee6e4c7583e0af55e87dd29a_6-0-1-"/>
            <w:bookmarkEnd w:id="3"/>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405" w:type="dxa"/>
        <w:jc w:val="left"/>
        <w:tblInd w:w="0" w:type="dxa"/>
        <w:tblLayout w:type="fixed"/>
        <w:tblCellMar>
          <w:top w:w="28" w:type="dxa"/>
          <w:left w:w="28" w:type="dxa"/>
          <w:bottom w:w="28" w:type="dxa"/>
          <w:right w:w="28" w:type="dxa"/>
        </w:tblCellMar>
      </w:tblPr>
      <w:tblGrid>
        <w:gridCol w:w="937"/>
        <w:gridCol w:w="244"/>
        <w:gridCol w:w="2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 Weeks Ended 9/6/2025</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cost of sales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selling, general and administrative expenses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impairment charges </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Acquisition and divestiture-related charges/credits </w:t>
            </w:r>
            <w:r>
              <w:rPr>
                <w:rFonts w:ascii="Times New Roman;serif" w:hAnsi="Times New Roman;serif"/>
                <w:b w:val="false"/>
                <w:color w:val="000000"/>
                <w:sz w:val="13"/>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and other charges </w:t>
            </w:r>
            <w:r>
              <w:rPr>
                <w:rFonts w:ascii="Times New Roman;serif" w:hAnsi="Times New Roman;serif"/>
                <w:b w:val="false"/>
                <w:color w:val="000000"/>
                <w:sz w:val="13"/>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hanging="360"/>
              <w:jc w:val="left"/>
              <w:rPr/>
            </w:pPr>
            <w:r>
              <w:rPr>
                <w:rFonts w:ascii="Times New Roman;serif" w:hAnsi="Times New Roman;serif"/>
                <w:b w:val="false"/>
                <w:color w:val="000000"/>
                <w:sz w:val="20"/>
              </w:rPr>
              <w:t xml:space="preserve">Indirect and income tax impact </w:t>
            </w:r>
            <w:r>
              <w:rPr>
                <w:rFonts w:ascii="Times New Roman;serif" w:hAnsi="Times New Roman;serif"/>
                <w:b w:val="false"/>
                <w:color w:val="000000"/>
                <w:sz w:val="13"/>
              </w:rPr>
              <w: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unallocated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(a)Does not include items recorded in the cost of sales or selling, general and administrative expenses lines on our income statement that are presented in the restructuring and impairment charges, acquisition and divestiture-related charges/credits, impairment and other charges and indirect and income tax impact lines of these tables.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(b)See Note 3 for further information related to restructuring and impairment charges.</w:t>
      </w:r>
    </w:p>
    <w:p>
      <w:pPr>
        <w:pStyle w:val="TextBody"/>
        <w:bidi w:val="0"/>
        <w:spacing w:lineRule="auto" w:line="288" w:before="0" w:after="0"/>
        <w:ind w:left="0" w:right="0" w:hanging="360"/>
        <w:jc w:val="both"/>
        <w:rPr>
          <w:rFonts w:ascii="Times New Roman;serif" w:hAnsi="Times New Roman;serif"/>
          <w:b w:val="false"/>
          <w:color w:val="000000"/>
          <w:sz w:val="18"/>
        </w:rPr>
      </w:pPr>
      <w:bookmarkStart w:id="4" w:name="id5842e3baa9243459a6d88d95d17849e_981"/>
      <w:bookmarkEnd w:id="4"/>
      <w:r>
        <w:rPr>
          <w:rFonts w:ascii="Times New Roman;serif" w:hAnsi="Times New Roman;serif"/>
          <w:b w:val="false"/>
          <w:color w:val="000000"/>
          <w:sz w:val="18"/>
        </w:rPr>
        <w:t>(c)See Note 11 for further information related to acquisition and divestiture-related charges/credits.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 the 12 weeks ended September 6, 2025, we recorded pre-tax charges of $100 million ($92 million after tax or $0.07 per share), primarily related to the impairment of the Rockstar brand in our IB Franchise and PBNA segments, with $83 million recorded in impairment of intangible assets and $17 million recorded in selling, general and administrative expenses. In the 36 weeks ended September 6, 2025, we recorded pre-tax charges of $1,960 million ($1,539 million after-tax or $1.12 per share), primarily related to the impairment of the Rockstar brand in our PBNA, EMEA and IB Franchise segments and the Be &amp; Cheery brand in our Asia Pacific Foods segment, with $1,943 million recorded in impairment of intangible assets and $17 million recorded in selling, general and administrative expenses. See Note 4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(e)In the 12 and 36 weeks ended September 6, 2025, we recorded a pre-tax charge of $82 million in selling, general and administrative expenses and income tax expense of $47 million in provision for income taxes (collectively, $0.09 per share) related to an indirect and income tax audit settlement in our LatAm Foods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Disaggregation of Net Revenue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primary performance obligation is the distribution and sales of beverage and convenient food products to our customers. The following tables reflect the percentage of net revenue generated between our beverage business and our convenient food business:</w:t>
      </w:r>
    </w:p>
    <w:tbl>
      <w:tblPr>
        <w:tblW w:w="7880" w:type="dxa"/>
        <w:jc w:val="left"/>
        <w:tblInd w:w="0" w:type="dxa"/>
        <w:tblLayout w:type="fixed"/>
        <w:tblCellMar>
          <w:top w:w="28" w:type="dxa"/>
          <w:left w:w="28" w:type="dxa"/>
          <w:bottom w:w="28" w:type="dxa"/>
          <w:right w:w="28" w:type="dxa"/>
        </w:tblCellMar>
      </w:tblPr>
      <w:tblGrid>
        <w:gridCol w:w="499"/>
        <w:gridCol w:w="439"/>
        <w:gridCol w:w="442"/>
        <w:gridCol w:w="242"/>
        <w:gridCol w:w="242"/>
        <w:gridCol w:w="671"/>
        <w:gridCol w:w="109"/>
        <w:gridCol w:w="109"/>
        <w:gridCol w:w="109"/>
        <w:gridCol w:w="339"/>
        <w:gridCol w:w="339"/>
        <w:gridCol w:w="942"/>
        <w:gridCol w:w="109"/>
        <w:gridCol w:w="109"/>
        <w:gridCol w:w="109"/>
        <w:gridCol w:w="243"/>
        <w:gridCol w:w="243"/>
        <w:gridCol w:w="609"/>
        <w:gridCol w:w="109"/>
        <w:gridCol w:w="109"/>
        <w:gridCol w:w="109"/>
        <w:gridCol w:w="335"/>
        <w:gridCol w:w="335"/>
        <w:gridCol w:w="97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Beverages</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Convenient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Beverages</w:t>
            </w:r>
            <w:r>
              <w:rPr>
                <w:rFonts w:ascii="Times New Roman;serif" w:hAnsi="Times New Roman;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Convenient Foods</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(b)</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7880" w:type="dxa"/>
        <w:jc w:val="left"/>
        <w:tblInd w:w="0" w:type="dxa"/>
        <w:tblLayout w:type="fixed"/>
        <w:tblCellMar>
          <w:top w:w="28" w:type="dxa"/>
          <w:left w:w="28" w:type="dxa"/>
          <w:bottom w:w="28" w:type="dxa"/>
          <w:right w:w="28" w:type="dxa"/>
        </w:tblCellMar>
      </w:tblPr>
      <w:tblGrid>
        <w:gridCol w:w="499"/>
        <w:gridCol w:w="439"/>
        <w:gridCol w:w="442"/>
        <w:gridCol w:w="242"/>
        <w:gridCol w:w="242"/>
        <w:gridCol w:w="671"/>
        <w:gridCol w:w="109"/>
        <w:gridCol w:w="109"/>
        <w:gridCol w:w="109"/>
        <w:gridCol w:w="339"/>
        <w:gridCol w:w="339"/>
        <w:gridCol w:w="942"/>
        <w:gridCol w:w="109"/>
        <w:gridCol w:w="109"/>
        <w:gridCol w:w="109"/>
        <w:gridCol w:w="243"/>
        <w:gridCol w:w="243"/>
        <w:gridCol w:w="609"/>
        <w:gridCol w:w="109"/>
        <w:gridCol w:w="109"/>
        <w:gridCol w:w="109"/>
        <w:gridCol w:w="335"/>
        <w:gridCol w:w="335"/>
        <w:gridCol w:w="979"/>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Beverages</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Convenient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Beverages</w:t>
            </w:r>
            <w:r>
              <w:rPr>
                <w:rFonts w:ascii="Times New Roman;serif" w:hAnsi="Times New Roman;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Convenient Foods</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(b)</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(a)Beverage revenue from company-owned bottlers, which includes our consolidated bottling operations in our PBNA and EMEA segments, was 38% of our consolidated net revenue in each of the 12 weeks ended September 5, 2026 and September 6, 2025, and 37% of our consolidated net revenue in each of the 36 weeks ended September 5, 2026 and September 6, 2025. Generally, our finished goods beverage operations produce higher net revenue but lower operating margins as compared to concentrate sold to authorized bottling partners for the manufacture of finished goods beverages.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(b)Beverage and convenient foods revenue generated from our EMEA segment was 41% and 59% of EMEA net revenue, respectively, in each of the 12 weeks ended September 5, 2026 and September 6, 2025, and 38% and 62% of EMEA net revenue, respectively, in each of the 36 weeks ended September 5, 2026 and September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Other Segment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Capital spending and depreciation and amortization of each segment are as follows:</w:t>
      </w:r>
    </w:p>
    <w:tbl>
      <w:tblPr>
        <w:tblW w:w="6769" w:type="dxa"/>
        <w:jc w:val="left"/>
        <w:tblInd w:w="0" w:type="dxa"/>
        <w:tblLayout w:type="fixed"/>
        <w:tblCellMar>
          <w:top w:w="28" w:type="dxa"/>
          <w:left w:w="28" w:type="dxa"/>
          <w:bottom w:w="28" w:type="dxa"/>
          <w:right w:w="28" w:type="dxa"/>
        </w:tblCellMar>
      </w:tblPr>
      <w:tblGrid>
        <w:gridCol w:w="583"/>
        <w:gridCol w:w="512"/>
        <w:gridCol w:w="524"/>
        <w:gridCol w:w="225"/>
        <w:gridCol w:w="514"/>
        <w:gridCol w:w="116"/>
        <w:gridCol w:w="109"/>
        <w:gridCol w:w="109"/>
        <w:gridCol w:w="109"/>
        <w:gridCol w:w="229"/>
        <w:gridCol w:w="507"/>
        <w:gridCol w:w="118"/>
        <w:gridCol w:w="109"/>
        <w:gridCol w:w="109"/>
        <w:gridCol w:w="109"/>
        <w:gridCol w:w="300"/>
        <w:gridCol w:w="685"/>
        <w:gridCol w:w="155"/>
        <w:gridCol w:w="155"/>
        <w:gridCol w:w="155"/>
        <w:gridCol w:w="155"/>
        <w:gridCol w:w="300"/>
        <w:gridCol w:w="663"/>
        <w:gridCol w:w="219"/>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Capital Spending</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 and Amortization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916</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892</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46" w:type="dxa"/>
        <w:jc w:val="left"/>
        <w:tblInd w:w="0" w:type="dxa"/>
        <w:tblLayout w:type="fixed"/>
        <w:tblCellMar>
          <w:top w:w="28" w:type="dxa"/>
          <w:left w:w="28" w:type="dxa"/>
          <w:bottom w:w="28" w:type="dxa"/>
          <w:right w:w="28" w:type="dxa"/>
        </w:tblCellMar>
      </w:tblPr>
      <w:tblGrid>
        <w:gridCol w:w="583"/>
        <w:gridCol w:w="512"/>
        <w:gridCol w:w="524"/>
        <w:gridCol w:w="211"/>
        <w:gridCol w:w="631"/>
        <w:gridCol w:w="109"/>
        <w:gridCol w:w="109"/>
        <w:gridCol w:w="109"/>
        <w:gridCol w:w="109"/>
        <w:gridCol w:w="211"/>
        <w:gridCol w:w="616"/>
        <w:gridCol w:w="109"/>
        <w:gridCol w:w="109"/>
        <w:gridCol w:w="109"/>
        <w:gridCol w:w="109"/>
        <w:gridCol w:w="260"/>
        <w:gridCol w:w="779"/>
        <w:gridCol w:w="134"/>
        <w:gridCol w:w="134"/>
        <w:gridCol w:w="134"/>
        <w:gridCol w:w="134"/>
        <w:gridCol w:w="260"/>
        <w:gridCol w:w="761"/>
        <w:gridCol w:w="190"/>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Capital Spending</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 and Amortization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2,531</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(a)Asset and other balance sheet information for segments is not provided to our chief operating decision maker.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2 - Recently Issued Accounting Pronouncements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Adopted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July 2025, the Financial Accounting Standards Board (FASB) issued guidance to provide for a practical expedient that an entity may assume that conditions as of the balance sheet date remain unchanged over the remaining life of the asset when estimating expected credit losses for current accounts receivable and current contract assets arising from revenue transactions from contracts with customers. We adopted the guidance in the first quarter of 2026, on a prospective basis. The adoption did not have a material impact on our condensed consolidated financial statements.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Not Yet Adopted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September 2025, the FASB issued guidance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When evaluating if a project is probable to be completed, significant development uncertainty must be assessed.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November 2024, the FASB issued guidance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Additionally, on an annual and interim basis, a qualitative description is required for amounts remaining in relevant expense captions that are not separately disaggregated quantitatively.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will adopt the guidance when it becomes effective, in our 2027 annual reporting and each quarter thereafter, on a prospective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3 - Restructuring and Impairment Charges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2019 Multi-Year Productivity Plan (2019 Productivity Plan)</w:t>
      </w:r>
    </w:p>
    <w:p>
      <w:pPr>
        <w:pStyle w:val="TextBody"/>
        <w:bidi w:val="0"/>
        <w:spacing w:lineRule="auto" w:line="288" w:before="120" w:after="120"/>
        <w:jc w:val="both"/>
        <w:rPr/>
      </w:pPr>
      <w:r>
        <w:rPr>
          <w:rFonts w:ascii="Times New Roman;serif" w:hAnsi="Times New Roman;serif"/>
          <w:b w:val="false"/>
          <w:color w:val="000000"/>
          <w:sz w:val="24"/>
        </w:rPr>
        <w:t xml:space="preserve">The 2019 Productivity Plan leverages new technology and business models to further simplify, harmonize and automate processes; re-engineers our go-to-market and information systems, </w:t>
      </w:r>
      <w:r>
        <w:rPr>
          <w:rFonts w:ascii="Times New Roman;serif" w:hAnsi="Times New Roman;serif"/>
          <w:b w:val="false"/>
          <w:color w:val="000000"/>
          <w:sz w:val="24"/>
          <w:shd w:fill="FFFFFF" w:val="clear"/>
        </w:rPr>
        <w:t>including deploying the</w:t>
      </w:r>
      <w:r>
        <w:rPr>
          <w:color w:val="000000"/>
        </w:rPr>
        <w:t xml:space="preserve"> </w:t>
      </w:r>
      <w:r>
        <w:rPr>
          <w:rFonts w:ascii="Times New Roman;serif" w:hAnsi="Times New Roman;serif"/>
          <w:b w:val="false"/>
          <w:color w:val="000000"/>
          <w:sz w:val="24"/>
        </w:rPr>
        <w:t>right automation for each market; and simplifies our organization and optimizes our manufacturing and supply chain footprint. 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These pre-tax charges are expected to consist of approximately 50% of severance and other employee-related costs, 15% for asset impairments (all non-cash) resulting from plant closures and related actions, and 35% for other costs associated with the implementation of our initiatives.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total plan pre-tax charges are expected to be incurred by segment approximately as follows:</w:t>
      </w:r>
    </w:p>
    <w:tbl>
      <w:tblPr>
        <w:tblW w:w="10205" w:type="dxa"/>
        <w:jc w:val="left"/>
        <w:tblInd w:w="0" w:type="dxa"/>
        <w:tblLayout w:type="fixed"/>
        <w:tblCellMar>
          <w:top w:w="28" w:type="dxa"/>
          <w:left w:w="28" w:type="dxa"/>
          <w:bottom w:w="28" w:type="dxa"/>
          <w:right w:w="28" w:type="dxa"/>
        </w:tblCellMar>
      </w:tblPr>
      <w:tblGrid>
        <w:gridCol w:w="592"/>
        <w:gridCol w:w="520"/>
        <w:gridCol w:w="522"/>
        <w:gridCol w:w="180"/>
        <w:gridCol w:w="181"/>
        <w:gridCol w:w="342"/>
        <w:gridCol w:w="109"/>
        <w:gridCol w:w="109"/>
        <w:gridCol w:w="109"/>
        <w:gridCol w:w="180"/>
        <w:gridCol w:w="181"/>
        <w:gridCol w:w="351"/>
        <w:gridCol w:w="109"/>
        <w:gridCol w:w="109"/>
        <w:gridCol w:w="109"/>
        <w:gridCol w:w="243"/>
        <w:gridCol w:w="243"/>
        <w:gridCol w:w="609"/>
        <w:gridCol w:w="109"/>
        <w:gridCol w:w="109"/>
        <w:gridCol w:w="109"/>
        <w:gridCol w:w="180"/>
        <w:gridCol w:w="181"/>
        <w:gridCol w:w="383"/>
        <w:gridCol w:w="109"/>
        <w:gridCol w:w="109"/>
        <w:gridCol w:w="109"/>
        <w:gridCol w:w="248"/>
        <w:gridCol w:w="229"/>
        <w:gridCol w:w="573"/>
        <w:gridCol w:w="109"/>
        <w:gridCol w:w="109"/>
        <w:gridCol w:w="109"/>
        <w:gridCol w:w="281"/>
        <w:gridCol w:w="281"/>
        <w:gridCol w:w="701"/>
        <w:gridCol w:w="109"/>
        <w:gridCol w:w="109"/>
        <w:gridCol w:w="109"/>
        <w:gridCol w:w="211"/>
        <w:gridCol w:w="211"/>
        <w:gridCol w:w="62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pre-tax charges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2019 Productivity Plan charges is as follows:</w:t>
      </w:r>
    </w:p>
    <w:tbl>
      <w:tblPr>
        <w:tblW w:w="9959" w:type="dxa"/>
        <w:jc w:val="center"/>
        <w:tblInd w:w="0" w:type="dxa"/>
        <w:tblLayout w:type="fixed"/>
        <w:tblCellMar>
          <w:top w:w="28" w:type="dxa"/>
          <w:left w:w="28" w:type="dxa"/>
          <w:bottom w:w="28" w:type="dxa"/>
          <w:right w:w="28" w:type="dxa"/>
        </w:tblCellMar>
      </w:tblPr>
      <w:tblGrid>
        <w:gridCol w:w="1921"/>
        <w:gridCol w:w="1681"/>
        <w:gridCol w:w="1707"/>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amount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net income attributable to PepsiCo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94" w:type="dxa"/>
        <w:jc w:val="center"/>
        <w:tblInd w:w="0" w:type="dxa"/>
        <w:tblLayout w:type="fixed"/>
        <w:tblCellMar>
          <w:top w:w="28" w:type="dxa"/>
          <w:left w:w="28" w:type="dxa"/>
          <w:bottom w:w="28" w:type="dxa"/>
          <w:right w:w="28" w:type="dxa"/>
        </w:tblCellMar>
      </w:tblPr>
      <w:tblGrid>
        <w:gridCol w:w="1026"/>
        <w:gridCol w:w="901"/>
        <w:gridCol w:w="922"/>
        <w:gridCol w:w="225"/>
        <w:gridCol w:w="514"/>
        <w:gridCol w:w="116"/>
        <w:gridCol w:w="109"/>
        <w:gridCol w:w="109"/>
        <w:gridCol w:w="109"/>
        <w:gridCol w:w="229"/>
        <w:gridCol w:w="507"/>
        <w:gridCol w:w="118"/>
        <w:gridCol w:w="109"/>
        <w:gridCol w:w="109"/>
        <w:gridCol w:w="109"/>
        <w:gridCol w:w="225"/>
        <w:gridCol w:w="514"/>
        <w:gridCol w:w="116"/>
        <w:gridCol w:w="109"/>
        <w:gridCol w:w="109"/>
        <w:gridCol w:w="109"/>
        <w:gridCol w:w="229"/>
        <w:gridCol w:w="507"/>
        <w:gridCol w:w="118"/>
        <w:gridCol w:w="109"/>
        <w:gridCol w:w="109"/>
        <w:gridCol w:w="109"/>
        <w:gridCol w:w="342"/>
        <w:gridCol w:w="1026"/>
        <w:gridCol w:w="251"/>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Plan-to-Date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through 9/5/2026</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925</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1,038</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(a)</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w:t>
            </w: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benefits (income)/expense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w:t>
            </w: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(a)Income amount represents adjustments for changes in estimates of previously recorded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9390" w:type="dxa"/>
        <w:jc w:val="center"/>
        <w:tblInd w:w="0" w:type="dxa"/>
        <w:tblLayout w:type="fixed"/>
        <w:tblCellMar>
          <w:top w:w="28" w:type="dxa"/>
          <w:left w:w="28" w:type="dxa"/>
          <w:bottom w:w="28" w:type="dxa"/>
          <w:right w:w="28" w:type="dxa"/>
        </w:tblCellMar>
      </w:tblPr>
      <w:tblGrid>
        <w:gridCol w:w="1101"/>
        <w:gridCol w:w="969"/>
        <w:gridCol w:w="975"/>
        <w:gridCol w:w="225"/>
        <w:gridCol w:w="514"/>
        <w:gridCol w:w="116"/>
        <w:gridCol w:w="109"/>
        <w:gridCol w:w="109"/>
        <w:gridCol w:w="109"/>
        <w:gridCol w:w="229"/>
        <w:gridCol w:w="507"/>
        <w:gridCol w:w="118"/>
        <w:gridCol w:w="109"/>
        <w:gridCol w:w="109"/>
        <w:gridCol w:w="109"/>
        <w:gridCol w:w="225"/>
        <w:gridCol w:w="514"/>
        <w:gridCol w:w="116"/>
        <w:gridCol w:w="109"/>
        <w:gridCol w:w="109"/>
        <w:gridCol w:w="109"/>
        <w:gridCol w:w="229"/>
        <w:gridCol w:w="507"/>
        <w:gridCol w:w="118"/>
        <w:gridCol w:w="109"/>
        <w:gridCol w:w="109"/>
        <w:gridCol w:w="109"/>
        <w:gridCol w:w="342"/>
        <w:gridCol w:w="1026"/>
        <w:gridCol w:w="251"/>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Plan-to-Date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through 9/5/2026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 costs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1,988</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w:t>
            </w:r>
            <w:r>
              <w:rPr>
                <w:color w:val="000000"/>
              </w:rPr>
              <w:t>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and other employee costs primarily include severance and other termination benefits, as well as voluntary separation arrangements. Other costs primarily include costs associated with the implementation of our initiatives, including contract termination costs, consulting and other professional fees.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2019 Productivity Plan activity for the 36 weeks ended September 5, 2026 is as follows:</w:t>
      </w:r>
    </w:p>
    <w:tbl>
      <w:tblPr>
        <w:tblW w:w="10205" w:type="dxa"/>
        <w:jc w:val="center"/>
        <w:tblInd w:w="0" w:type="dxa"/>
        <w:tblLayout w:type="fixed"/>
        <w:tblCellMar>
          <w:top w:w="28" w:type="dxa"/>
          <w:left w:w="28" w:type="dxa"/>
          <w:bottom w:w="28" w:type="dxa"/>
          <w:right w:w="28" w:type="dxa"/>
        </w:tblCellMar>
      </w:tblPr>
      <w:tblGrid>
        <w:gridCol w:w="1035"/>
        <w:gridCol w:w="904"/>
        <w:gridCol w:w="911"/>
        <w:gridCol w:w="850"/>
        <w:gridCol w:w="1939"/>
        <w:gridCol w:w="439"/>
        <w:gridCol w:w="109"/>
        <w:gridCol w:w="109"/>
        <w:gridCol w:w="109"/>
        <w:gridCol w:w="349"/>
        <w:gridCol w:w="671"/>
        <w:gridCol w:w="181"/>
        <w:gridCol w:w="109"/>
        <w:gridCol w:w="109"/>
        <w:gridCol w:w="109"/>
        <w:gridCol w:w="339"/>
        <w:gridCol w:w="580"/>
        <w:gridCol w:w="177"/>
        <w:gridCol w:w="109"/>
        <w:gridCol w:w="109"/>
        <w:gridCol w:w="109"/>
        <w:gridCol w:w="211"/>
        <w:gridCol w:w="481"/>
        <w:gridCol w:w="157"/>
      </w:tblGrid>
      <w:tr>
        <w:trPr/>
        <w:tc>
          <w:tcPr>
            <w:tcW w:w="10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Asset </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December 27, 2025</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payments </w:t>
            </w:r>
            <w:r>
              <w:rPr>
                <w:rFonts w:ascii="Times New Roman;serif" w:hAnsi="Times New Roman;serif"/>
                <w:b w:val="false"/>
                <w:color w:val="000000"/>
                <w:sz w:val="13"/>
              </w:rPr>
              <w:t>(a)</w:t>
            </w:r>
          </w:p>
        </w:tc>
        <w:tc>
          <w:tcPr>
            <w:tcW w:w="2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and translation</w:t>
            </w:r>
          </w:p>
        </w:tc>
        <w:tc>
          <w:tcPr>
            <w:tcW w:w="2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as of September 5, 2026</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cash expenditures of $3 million reported in the cash flow statement in pension and retiree medical plan contributions.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majority of the restructuring accrual at September 5, 2026 is expected to be paid within a year.</w:t>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Other Productivity Initiatives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were no material charges related to other productivity and efficiency initiatives outside the scope of the 2019 Productivity Plan.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different productivity initiatives beyond the productivity plan and other initiatives described above.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information on additional impairment charges, see Notes 1 and 4 for impairment and other charges taken primarily related to the impairments of the Rockstar and Be &amp; Cheery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4 - Intangible Assets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amortizable intangible assets is as follows:</w:t>
      </w:r>
    </w:p>
    <w:tbl>
      <w:tblPr>
        <w:tblW w:w="10205" w:type="dxa"/>
        <w:jc w:val="left"/>
        <w:tblInd w:w="0" w:type="dxa"/>
        <w:tblLayout w:type="fixed"/>
        <w:tblCellMar>
          <w:top w:w="28" w:type="dxa"/>
          <w:left w:w="28" w:type="dxa"/>
          <w:bottom w:w="28" w:type="dxa"/>
          <w:right w:w="28" w:type="dxa"/>
        </w:tblCellMar>
      </w:tblPr>
      <w:tblGrid>
        <w:gridCol w:w="682"/>
        <w:gridCol w:w="395"/>
        <w:gridCol w:w="398"/>
        <w:gridCol w:w="109"/>
        <w:gridCol w:w="109"/>
        <w:gridCol w:w="109"/>
        <w:gridCol w:w="211"/>
        <w:gridCol w:w="631"/>
        <w:gridCol w:w="109"/>
        <w:gridCol w:w="109"/>
        <w:gridCol w:w="109"/>
        <w:gridCol w:w="109"/>
        <w:gridCol w:w="333"/>
        <w:gridCol w:w="999"/>
        <w:gridCol w:w="174"/>
        <w:gridCol w:w="109"/>
        <w:gridCol w:w="109"/>
        <w:gridCol w:w="109"/>
        <w:gridCol w:w="211"/>
        <w:gridCol w:w="631"/>
        <w:gridCol w:w="109"/>
        <w:gridCol w:w="109"/>
        <w:gridCol w:w="109"/>
        <w:gridCol w:w="109"/>
        <w:gridCol w:w="211"/>
        <w:gridCol w:w="616"/>
        <w:gridCol w:w="109"/>
        <w:gridCol w:w="109"/>
        <w:gridCol w:w="109"/>
        <w:gridCol w:w="109"/>
        <w:gridCol w:w="319"/>
        <w:gridCol w:w="954"/>
        <w:gridCol w:w="166"/>
        <w:gridCol w:w="109"/>
        <w:gridCol w:w="109"/>
        <w:gridCol w:w="109"/>
        <w:gridCol w:w="211"/>
        <w:gridCol w:w="616"/>
        <w:gridCol w:w="158"/>
      </w:tblGrid>
      <w:tr>
        <w:trPr/>
        <w:tc>
          <w:tcPr>
            <w:tcW w:w="68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12/27/2025</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Acquired franchise rights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identifiable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(1,951)</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components of indefinite-lived intangible assets are as follows:</w:t>
      </w:r>
    </w:p>
    <w:tbl>
      <w:tblPr>
        <w:tblW w:w="5777" w:type="dxa"/>
        <w:jc w:val="left"/>
        <w:tblInd w:w="0" w:type="dxa"/>
        <w:tblLayout w:type="fixed"/>
        <w:tblCellMar>
          <w:top w:w="28" w:type="dxa"/>
          <w:left w:w="28" w:type="dxa"/>
          <w:bottom w:w="28" w:type="dxa"/>
          <w:right w:w="28" w:type="dxa"/>
        </w:tblCellMar>
      </w:tblPr>
      <w:tblGrid>
        <w:gridCol w:w="1188"/>
        <w:gridCol w:w="1045"/>
        <w:gridCol w:w="1052"/>
        <w:gridCol w:w="211"/>
        <w:gridCol w:w="736"/>
        <w:gridCol w:w="109"/>
        <w:gridCol w:w="109"/>
        <w:gridCol w:w="109"/>
        <w:gridCol w:w="109"/>
        <w:gridCol w:w="215"/>
        <w:gridCol w:w="737"/>
        <w:gridCol w:w="157"/>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Reacquired franchise rights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Acquired franchise rights </w:t>
            </w:r>
            <w:r>
              <w:rPr>
                <w:rFonts w:ascii="Times New Roman;serif" w:hAnsi="Times New Roman;serif"/>
                <w:b w:val="false"/>
                <w:color w:val="000000"/>
                <w:sz w:val="13"/>
              </w:rPr>
              <w:t>(b)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(a)Decrease is primarily related to currency translation adjustments.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(b)Increase is primarily related to acquired distribution rights for the Alani Nu brand.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36 weeks ended September 6, 2025, business performance in conjunction with lower expectations of future business performance compared to projections, as well as the transaction discussed below, indicated a deterioration of the significant inputs used to determine the fair value of our indefinite-lived intangible assets in certain markets and required us to perform a quantitative assessment on certain assets. The fair value of our indefinite-lived intangible assets was estimated using discounted cash flows under the income approach, which we consider to be a Level 3 (significant unobservable inputs) measurement. We determined that the carrying value exceeded the fair value, which reflected our most current estimates of future sales and their contributions to operating profit and expected future cash flows (including perpetuity growth assumptions), as well as an increase in the weighted-average cost of capital. As a result of the quantitative assessments, in the 36 weeks ended September 6, 2025, we recorded pre-tax impairment charges of $1.9 billion ($1.5 billion after-tax or $1.07 per share) in impairment of intangible assets, primarily comprised of the Rockstar brand in our PBNA, EMEA and IB Franchise segments, with $0.1 billion ($0.1 billion after-tax or $0.06 per share) recorded during the 12 weeks ended September 6, 2025 related to the Rockstar brand in our IB Franchise and PBNA segments.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On August 28, 2025, we consummated a transaction with Celsius Holdings, Inc. (Celsius), pursuant to which we acquired convertible preferred shares and transferred cash and certain non-cash assets, primarily the Rockstar brand of $0.5 billion in the United States and Canada (Celsius Transaction). For further information on the convertible preferred shares, see Note 8. On the same date, we entered into an agreement with Celsius to be the exclusive distributor for the Alani Nu brand in certain channels in the United States and Canada that commenced in the fourth quarter of 2025.</w:t>
      </w:r>
    </w:p>
    <w:p>
      <w:pPr>
        <w:pStyle w:val="TextBody"/>
        <w:bidi w:val="0"/>
        <w:spacing w:lineRule="auto" w:line="288" w:before="0" w:after="0"/>
        <w:jc w:val="both"/>
        <w:rPr>
          <w:rFonts w:ascii="Times New Roman;serif" w:hAnsi="Times New Roman;serif"/>
          <w:b w:val="false"/>
          <w:color w:val="000000"/>
          <w:sz w:val="24"/>
        </w:rPr>
      </w:pPr>
      <w:bookmarkStart w:id="5" w:name="i78807d094e2b4d5488749a05e92c8e33_5284"/>
      <w:bookmarkEnd w:id="5"/>
      <w:r>
        <w:rPr>
          <w:rFonts w:ascii="Times New Roman;serif" w:hAnsi="Times New Roman;serif"/>
          <w:b w:val="false"/>
          <w:color w:val="000000"/>
          <w:sz w:val="24"/>
        </w:rPr>
        <w:t>We continuously monitor the performance of all our indefinite-lived intangible assets and performed our annual impairment assessment during our third quarter, which resulted in no impairment. For further information on our policies for indefinite-lived intangible assets, see Note 2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Note 5 - Share-Based Compensation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Starting with awards granted in 2026, RSUs and stock options will primarily vest ratably over three years and amortized to expense on a straight-line basis. Additionally, certain executive officers and other senior executives who were previously granted 66% PSUs and 34% long-term cash were granted 60% PSUs and 40% RSUs in 2026. For PSUs granted in 2026, the final payout will be determined over a three-year period based on achievement of specified pre-established financial performance metrics, with PepsiCo’s total shareholder return relative to a specific set of peer companies acting as a multiplier. The Monte Carlo valuation model is used to determine the grant date fair value of the award, reflective of the total shareholder return market condition. Share-based compensation expense is adjusted for changes in the expected achievement of pre-established financial performance metrics throughout the three-year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table summarizes our total share-based compensation expense, which is primarily recorded in selling, general and administrative expenses:</w:t>
      </w:r>
    </w:p>
    <w:tbl>
      <w:tblPr>
        <w:tblW w:w="9947" w:type="dxa"/>
        <w:jc w:val="left"/>
        <w:tblInd w:w="0" w:type="dxa"/>
        <w:tblLayout w:type="fixed"/>
        <w:tblCellMar>
          <w:top w:w="28" w:type="dxa"/>
          <w:left w:w="28" w:type="dxa"/>
          <w:bottom w:w="28" w:type="dxa"/>
          <w:right w:w="28" w:type="dxa"/>
        </w:tblCellMar>
      </w:tblPr>
      <w:tblGrid>
        <w:gridCol w:w="1865"/>
        <w:gridCol w:w="1638"/>
        <w:gridCol w:w="1641"/>
        <w:gridCol w:w="288"/>
        <w:gridCol w:w="518"/>
        <w:gridCol w:w="138"/>
        <w:gridCol w:w="109"/>
        <w:gridCol w:w="109"/>
        <w:gridCol w:w="109"/>
        <w:gridCol w:w="288"/>
        <w:gridCol w:w="518"/>
        <w:gridCol w:w="138"/>
        <w:gridCol w:w="109"/>
        <w:gridCol w:w="109"/>
        <w:gridCol w:w="109"/>
        <w:gridCol w:w="248"/>
        <w:gridCol w:w="577"/>
        <w:gridCol w:w="119"/>
        <w:gridCol w:w="109"/>
        <w:gridCol w:w="109"/>
        <w:gridCol w:w="109"/>
        <w:gridCol w:w="247"/>
        <w:gridCol w:w="575"/>
        <w:gridCol w:w="168"/>
      </w:tblGrid>
      <w:tr>
        <w:trPr/>
        <w:tc>
          <w:tcPr>
            <w:tcW w:w="186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36 Weeks Ended</w:t>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Share-based compensation expense – equity awards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Share-based compensation expense – liability awards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Restructuring charges</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80</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247</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table summarizes share-based awards granted under the terms of the PepsiCo, Inc. Long-Term Incentive Plan:</w:t>
      </w:r>
    </w:p>
    <w:tbl>
      <w:tblPr>
        <w:tblW w:w="10205" w:type="dxa"/>
        <w:jc w:val="left"/>
        <w:tblInd w:w="0" w:type="dxa"/>
        <w:tblLayout w:type="fixed"/>
        <w:tblCellMar>
          <w:top w:w="28" w:type="dxa"/>
          <w:left w:w="28" w:type="dxa"/>
          <w:bottom w:w="28" w:type="dxa"/>
          <w:right w:w="28" w:type="dxa"/>
        </w:tblCellMar>
      </w:tblPr>
      <w:tblGrid>
        <w:gridCol w:w="525"/>
        <w:gridCol w:w="460"/>
        <w:gridCol w:w="462"/>
        <w:gridCol w:w="363"/>
        <w:gridCol w:w="363"/>
        <w:gridCol w:w="364"/>
        <w:gridCol w:w="109"/>
        <w:gridCol w:w="109"/>
        <w:gridCol w:w="109"/>
        <w:gridCol w:w="567"/>
        <w:gridCol w:w="2076"/>
        <w:gridCol w:w="275"/>
        <w:gridCol w:w="109"/>
        <w:gridCol w:w="109"/>
        <w:gridCol w:w="109"/>
        <w:gridCol w:w="329"/>
        <w:gridCol w:w="329"/>
        <w:gridCol w:w="331"/>
        <w:gridCol w:w="109"/>
        <w:gridCol w:w="109"/>
        <w:gridCol w:w="109"/>
        <w:gridCol w:w="518"/>
        <w:gridCol w:w="1899"/>
        <w:gridCol w:w="363"/>
      </w:tblGrid>
      <w:tr>
        <w:trP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36 Weeks Ended</w:t>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9/6/2025</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Granted</w:t>
            </w:r>
            <w:r>
              <w:rPr>
                <w:rFonts w:ascii="Times New Roman;serif" w:hAnsi="Times New Roman;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Weighted-Average Grant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Granted</w:t>
            </w:r>
            <w:r>
              <w:rPr>
                <w:rFonts w:ascii="Times New Roman;serif" w:hAnsi="Times New Roman;serif"/>
                <w:b w:val="false"/>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Weighted-Average Grant Price</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Stock options</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1.2</w:t>
            </w: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2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162.45</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150.75 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RSUs and PSUs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w:t>
            </w: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2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169.20</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153.50 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(a)In millions. All grant activity is disclosed at target.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the 12 weeks ended September 5, 2026 and September 6, 2025, our grants of stock options, RSUs and PSUs were nominal.</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granted long-term cash awards to certain executive officers and other senior executives with an aggregate target value of $22 million during the 36 weeks ended September 6, 2025. Long-term cash awards granted for the 12 weeks ended September 6, 2025 were nominal.</w:t>
      </w:r>
    </w:p>
    <w:p>
      <w:pPr>
        <w:pStyle w:val="TextBody"/>
        <w:bidi w:val="0"/>
        <w:spacing w:lineRule="auto" w:line="288" w:before="120" w:after="120"/>
        <w:jc w:val="both"/>
        <w:rPr/>
      </w:pPr>
      <w:r>
        <w:rPr>
          <w:rFonts w:ascii="Times New Roman;serif" w:hAnsi="Times New Roman;serif"/>
          <w:b w:val="false"/>
          <w:color w:val="000000"/>
          <w:sz w:val="24"/>
        </w:rPr>
        <w:t>Our weighted-average Black-Scholes fair value assumptions are as follows:</w:t>
      </w:r>
      <w:r>
        <w:rPr>
          <w:color w:val="000000"/>
        </w:rPr>
        <w:t> </w:t>
      </w:r>
    </w:p>
    <w:tbl>
      <w:tblPr>
        <w:tblW w:w="4951" w:type="dxa"/>
        <w:jc w:val="left"/>
        <w:tblInd w:w="0" w:type="dxa"/>
        <w:tblLayout w:type="fixed"/>
        <w:tblCellMar>
          <w:top w:w="28" w:type="dxa"/>
          <w:left w:w="28" w:type="dxa"/>
          <w:bottom w:w="28" w:type="dxa"/>
          <w:right w:w="28" w:type="dxa"/>
        </w:tblCellMar>
      </w:tblPr>
      <w:tblGrid>
        <w:gridCol w:w="874"/>
        <w:gridCol w:w="767"/>
        <w:gridCol w:w="773"/>
        <w:gridCol w:w="282"/>
        <w:gridCol w:w="184"/>
        <w:gridCol w:w="580"/>
        <w:gridCol w:w="139"/>
        <w:gridCol w:w="139"/>
        <w:gridCol w:w="139"/>
        <w:gridCol w:w="244"/>
        <w:gridCol w:w="222"/>
        <w:gridCol w:w="60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36 Weeks Ended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9/5/2026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life</w:t>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 years</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Risk-free interest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3.8</w:t>
            </w: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volatility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16</w:t>
            </w:r>
            <w:r>
              <w:rPr>
                <w:color w:val="000000"/>
              </w:rPr>
              <w:t>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Expected dividend yield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3.6</w:t>
            </w:r>
            <w:r>
              <w:rPr>
                <w:color w:val="000000"/>
              </w:rPr>
              <w:t>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6 - Pension and Retiree Medical Benefits</w:t>
      </w:r>
    </w:p>
    <w:p>
      <w:pPr>
        <w:pStyle w:val="TextBody"/>
        <w:bidi w:val="0"/>
        <w:spacing w:lineRule="auto" w:line="288" w:before="0" w:after="120"/>
        <w:jc w:val="both"/>
        <w:rPr>
          <w:rFonts w:ascii="Times New Roman;serif" w:hAnsi="Times New Roman;serif"/>
          <w:b w:val="false"/>
          <w:color w:val="000000"/>
          <w:sz w:val="24"/>
        </w:rPr>
      </w:pPr>
      <w:bookmarkStart w:id="6" w:name="i4b62a4e561d842749426947d4761e4d8_5889"/>
      <w:bookmarkEnd w:id="6"/>
      <w:r>
        <w:rPr>
          <w:rFonts w:ascii="Times New Roman;serif" w:hAnsi="Times New Roman;serif"/>
          <w:b w:val="false"/>
          <w:color w:val="000000"/>
          <w:sz w:val="24"/>
        </w:rPr>
        <w:t>In the 12 and 36 weeks ended September 5, 2026, we recognized a pre-tax settlement charge of $144 million ($111 million after-tax or $0.08 per share) in a U.S. qualified defined benefit pension plan due to lump sum distributions to retired or terminated employees. The settlement charge was triggered when the cumulative lump sum distributions exceeded the total annual service and interest cost in 2026. As a result, related plan assets and benefit obligations were remeasured using assumptions as of September 5, 2026, the remeasurement date. The weighted-average discount rate for the U.S. defined benefit plans’ projected benefit obligations increased from 5.5% to 5.7% as a result of the remeasurement. In addition, for purposes of determining the 2026 net periodic benefit cost/(income), the weighted-average interest cost discount rate for the U.S. defined benefit pension plans increased from 4.9% to 5.1%, while the weighted-average expected return on plan assets remained unchanged at 7.8%. Any incremental lump sum payments made in the fourth quarter of 2026 would result in additional settlement charges for the year.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further information on our policies for pension, retiree-medical and savings plans, refer to Note 7 to our consolidated financial statements in our 2025 Form 10-K.</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components of net periodic benefit cost/(income) for pension and retiree medical plans are as follows:</w:t>
      </w:r>
    </w:p>
    <w:tbl>
      <w:tblPr>
        <w:tblW w:w="10205" w:type="dxa"/>
        <w:jc w:val="left"/>
        <w:tblInd w:w="0" w:type="dxa"/>
        <w:tblLayout w:type="fixed"/>
        <w:tblCellMar>
          <w:top w:w="28" w:type="dxa"/>
          <w:left w:w="28" w:type="dxa"/>
          <w:bottom w:w="28" w:type="dxa"/>
          <w:right w:w="28" w:type="dxa"/>
        </w:tblCellMar>
      </w:tblPr>
      <w:tblGrid>
        <w:gridCol w:w="1476"/>
        <w:gridCol w:w="1058"/>
        <w:gridCol w:w="1050"/>
        <w:gridCol w:w="235"/>
        <w:gridCol w:w="549"/>
        <w:gridCol w:w="113"/>
        <w:gridCol w:w="109"/>
        <w:gridCol w:w="109"/>
        <w:gridCol w:w="109"/>
        <w:gridCol w:w="253"/>
        <w:gridCol w:w="456"/>
        <w:gridCol w:w="122"/>
        <w:gridCol w:w="109"/>
        <w:gridCol w:w="109"/>
        <w:gridCol w:w="109"/>
        <w:gridCol w:w="253"/>
        <w:gridCol w:w="456"/>
        <w:gridCol w:w="122"/>
        <w:gridCol w:w="109"/>
        <w:gridCol w:w="109"/>
        <w:gridCol w:w="109"/>
        <w:gridCol w:w="253"/>
        <w:gridCol w:w="456"/>
        <w:gridCol w:w="122"/>
        <w:gridCol w:w="109"/>
        <w:gridCol w:w="109"/>
        <w:gridCol w:w="109"/>
        <w:gridCol w:w="279"/>
        <w:gridCol w:w="353"/>
        <w:gridCol w:w="134"/>
        <w:gridCol w:w="111"/>
        <w:gridCol w:w="111"/>
        <w:gridCol w:w="111"/>
        <w:gridCol w:w="275"/>
        <w:gridCol w:w="348"/>
        <w:gridCol w:w="201"/>
      </w:tblGrid>
      <w:tr>
        <w:trPr/>
        <w:tc>
          <w:tcPr>
            <w:tcW w:w="147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12 Weeks Ended</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Retiree Medical</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rPr>
            </w:pPr>
            <w:r>
              <w:rPr>
                <w:rFonts w:ascii="Times New Roman;serif" w:hAnsi="Times New Roman;serif"/>
                <w:b/>
                <w:i/>
                <w:color w:val="000000"/>
                <w:sz w:val="22"/>
              </w:rPr>
              <w:t>Other pension and retiree medical benefits expense/(income):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cost</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return on plan assets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prior service cost/(credits)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net losses/(gains)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bookmarkStart w:id="7" w:name="i5b143f40cbd946a0b982f0769628118a_10-0-1"/>
            <w:bookmarkEnd w:id="7"/>
            <w:r>
              <w:rPr>
                <w:rFonts w:ascii="Times New Roman;serif" w:hAnsi="Times New Roman;serif"/>
                <w:b w:val="false"/>
                <w:color w:val="000000"/>
                <w:sz w:val="22"/>
              </w:rPr>
              <w:t xml:space="preserve">Settlement/curtailment losses </w:t>
            </w:r>
            <w:r>
              <w:rPr>
                <w:rFonts w:ascii="Times New Roman;serif" w:hAnsi="Times New Roman;serif"/>
                <w:b w:val="false"/>
                <w:color w:val="000000"/>
                <w:sz w:val="14"/>
              </w:rPr>
              <w:t>(a)</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termination benefits</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pension and retiree medical benefits expense/(income)</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167</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18</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429"/>
        <w:gridCol w:w="1004"/>
        <w:gridCol w:w="994"/>
        <w:gridCol w:w="235"/>
        <w:gridCol w:w="547"/>
        <w:gridCol w:w="113"/>
        <w:gridCol w:w="109"/>
        <w:gridCol w:w="109"/>
        <w:gridCol w:w="109"/>
        <w:gridCol w:w="235"/>
        <w:gridCol w:w="547"/>
        <w:gridCol w:w="113"/>
        <w:gridCol w:w="109"/>
        <w:gridCol w:w="109"/>
        <w:gridCol w:w="109"/>
        <w:gridCol w:w="252"/>
        <w:gridCol w:w="452"/>
        <w:gridCol w:w="121"/>
        <w:gridCol w:w="109"/>
        <w:gridCol w:w="109"/>
        <w:gridCol w:w="109"/>
        <w:gridCol w:w="252"/>
        <w:gridCol w:w="452"/>
        <w:gridCol w:w="121"/>
        <w:gridCol w:w="109"/>
        <w:gridCol w:w="109"/>
        <w:gridCol w:w="109"/>
        <w:gridCol w:w="252"/>
        <w:gridCol w:w="452"/>
        <w:gridCol w:w="121"/>
        <w:gridCol w:w="109"/>
        <w:gridCol w:w="109"/>
        <w:gridCol w:w="109"/>
        <w:gridCol w:w="250"/>
        <w:gridCol w:w="450"/>
        <w:gridCol w:w="178"/>
      </w:tblGrid>
      <w:tr>
        <w:trPr/>
        <w:tc>
          <w:tcPr>
            <w:tcW w:w="142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36 Weeks Ended</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Retiree Medical</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9/6/2025</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36</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48"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2"/>
              </w:rPr>
            </w:pPr>
            <w:r>
              <w:rPr>
                <w:rFonts w:ascii="Times New Roman;serif" w:hAnsi="Times New Roman;serif"/>
                <w:b/>
                <w:i/>
                <w:color w:val="000000"/>
                <w:sz w:val="22"/>
              </w:rPr>
              <w:t>Other pension and retiree medical benefits expense/(income):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cost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361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Expected return on plan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prior service cost/(credits)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net losses/(gains)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bookmarkStart w:id="8" w:name="i606bf03fa608476ea22cd9ad44cc12c0_10-0-1"/>
            <w:bookmarkEnd w:id="8"/>
            <w:r>
              <w:rPr>
                <w:rFonts w:ascii="Times New Roman;serif" w:hAnsi="Times New Roman;serif"/>
                <w:b w:val="false"/>
                <w:color w:val="000000"/>
                <w:sz w:val="22"/>
              </w:rPr>
              <w:t xml:space="preserve">Net settlement/curtailment losses </w:t>
            </w:r>
            <w:r>
              <w:rPr>
                <w:rFonts w:ascii="Times New Roman;serif" w:hAnsi="Times New Roman;serif"/>
                <w:b w:val="false"/>
                <w:color w:val="000000"/>
                <w:sz w:val="14"/>
              </w:rPr>
              <w:t>(a)</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termination benefits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other pension and retiree medical benefits expense/(income)</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172</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30</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19</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pPr>
      <w:bookmarkStart w:id="9" w:name="i4b62a4e561d842749426947d4761e4d8_5888"/>
      <w:bookmarkEnd w:id="9"/>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20"/>
        </w:rPr>
        <w:t>U.S. amounts for the 12 and 36 weeks ended September 5, 2026 include a pre-tax settlement charge of $144 million ($111 million after-tax or $0.08 per share) in a U.S. qualified defined benefit pension plan.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opportunities to reduce risk and volatility associated with our pension and retiree medical plans.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In the 36 weeks ended September 5, 2026 and September 6, 2025, we made discretionary contributions of $200 million and $250 million, respectively, to our U.S. qualified defined benefit plans, and $52 million and $29 million, respectively, to our international defined benefit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 xml:space="preserve">Note 7 - Debt Obligations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the 36 weeks ended September 5, 2026, we issued the following notes:</w:t>
      </w:r>
    </w:p>
    <w:tbl>
      <w:tblPr>
        <w:tblW w:w="6226" w:type="dxa"/>
        <w:jc w:val="center"/>
        <w:tblInd w:w="0" w:type="dxa"/>
        <w:tblLayout w:type="fixed"/>
        <w:tblCellMar>
          <w:top w:w="28" w:type="dxa"/>
          <w:left w:w="28" w:type="dxa"/>
          <w:bottom w:w="28" w:type="dxa"/>
          <w:right w:w="28" w:type="dxa"/>
        </w:tblCellMar>
      </w:tblPr>
      <w:tblGrid>
        <w:gridCol w:w="384"/>
        <w:gridCol w:w="337"/>
        <w:gridCol w:w="814"/>
        <w:gridCol w:w="109"/>
        <w:gridCol w:w="109"/>
        <w:gridCol w:w="109"/>
        <w:gridCol w:w="519"/>
        <w:gridCol w:w="519"/>
        <w:gridCol w:w="521"/>
        <w:gridCol w:w="109"/>
        <w:gridCol w:w="109"/>
        <w:gridCol w:w="109"/>
        <w:gridCol w:w="774"/>
        <w:gridCol w:w="774"/>
        <w:gridCol w:w="776"/>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Principal Amount</w:t>
            </w:r>
            <w:r>
              <w:rPr>
                <w:rFonts w:ascii="Times New Roman;serif" w:hAnsi="Times New Roman;serif"/>
                <w:b/>
                <w:color w:val="000000"/>
                <w:sz w:val="16"/>
              </w:rPr>
              <w:t>(a) (b)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500 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3.300 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650 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3.700 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850 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4.150 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February 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4"/>
              </w:rPr>
              <w:t>500 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debt issuance costs, discounts and premiums.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(b)These notes, issued in euros, were designated as net investment hedges to partially offset the effects of foreign currency on our investments in certain of our foreign subsidiaries.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net proceeds from the issuances of the above notes were used for general corporate purposes, including the repayment of commercial paper.</w:t>
      </w:r>
    </w:p>
    <w:p>
      <w:pPr>
        <w:pStyle w:val="TextBody"/>
        <w:bidi w:val="0"/>
        <w:spacing w:lineRule="auto" w:line="288" w:before="120" w:after="120"/>
        <w:jc w:val="both"/>
        <w:rPr/>
      </w:pPr>
      <w:r>
        <w:rPr>
          <w:rFonts w:ascii="Times New Roman;serif" w:hAnsi="Times New Roman;serif"/>
          <w:b w:val="false"/>
          <w:color w:val="000000"/>
          <w:sz w:val="24"/>
        </w:rPr>
        <w:t xml:space="preserve">In the 36 weeks ended </w:t>
      </w:r>
      <w:r>
        <w:rPr>
          <w:rFonts w:ascii="Times New Roman;serif" w:hAnsi="Times New Roman;serif"/>
          <w:b w:val="false"/>
          <w:color w:val="000000"/>
          <w:sz w:val="24"/>
          <w:shd w:fill="FFFFFF" w:val="clear"/>
        </w:rPr>
        <w:t>September 5, 2026</w:t>
      </w:r>
      <w:r>
        <w:rPr>
          <w:rFonts w:ascii="Times New Roman;serif" w:hAnsi="Times New Roman;serif"/>
          <w:b w:val="false"/>
          <w:color w:val="000000"/>
          <w:sz w:val="24"/>
        </w:rPr>
        <w:t>, $1.6 billion of U.S. dollar-denominated senior notes and €0.5 billion of euro-denominated senior notes matured and were paid. Subsequent to September 5, 2026, $1.1 billion of U.S. dollar-denominated senior notes matured and were paid.</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As of </w:t>
      </w:r>
      <w:r>
        <w:rPr>
          <w:rFonts w:ascii="Times New Roman;serif" w:hAnsi="Times New Roman;serif"/>
          <w:b w:val="false"/>
          <w:color w:val="000000"/>
          <w:sz w:val="24"/>
        </w:rPr>
        <w:t>September 5, 2026</w:t>
      </w:r>
      <w:r>
        <w:rPr>
          <w:rFonts w:ascii="Times New Roman;serif" w:hAnsi="Times New Roman;serif"/>
          <w:b w:val="false"/>
          <w:color w:val="000000"/>
          <w:sz w:val="24"/>
          <w:shd w:fill="FFFFFF" w:val="clear"/>
        </w:rPr>
        <w:t>, we had $4.8 billion of commercial paper outstanding, excluding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bookmarkStart w:id="10" w:name="i1010b9a914f3485daf116affe2c2dcc6_2596"/>
      <w:bookmarkEnd w:id="10"/>
      <w:r>
        <w:rPr>
          <w:rFonts w:ascii="Times New Roman;serif" w:hAnsi="Times New Roman;serif"/>
          <w:b w:val="false"/>
          <w:color w:val="000000"/>
          <w:sz w:val="24"/>
        </w:rPr>
        <w:t>In the 36 weeks ended September 5, 2026, we entered into a new five-year unsecured revolving credit agreement (2026 Five-Year Credit Agreement), which expires on May 22, 2031. The 2026 Five-Year Credit Agreement enables us and our borrowing subsidiaries to borrow up to $5.0 billion in U.S. dollars and/or euros, including a $1.2 billion swing line subfacility for euro-denominated borrowings permitted to be borrowed on a same-day basis, subject to customary terms and conditions. We may request that commitments under this agreement be increased up to $5.75 billion (or the equivalent amount in euros). Additionally, we may, up to two times during the term of the 2026 Five-Year Credit Agreement, request renewal of the agreement for an additional one-year period. The 2026 Five-Year Credit Agreement replaced our $5.0 billion five-year credit agreement, dated as of May 23,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Also in the 36 weeks ended September 5, 2026, we entered into a new 364-day unsecured revolving credit agreement (2026 364-Day Credit Agreement), which expires on May 21, 2027. The 2026 364-Day Credit Agreement enables us and our borrowing subsidiaries to borrow up to $5.0 billion in U.S. dollars and/or euros, subject to customary terms and conditions. We may request that commitments under this agreement be increased up to $5.75 billion (or the equivalent amount in euros). We may request renewal of this facility for an additional 364-day period or convert any amounts outstanding into a term loan for a period of up to one year, which term loan would mature no later than the anniversary of the then effective termination date. The 2026 364-Day Credit Agreement replaced our $5.0 billion 364-day credit agreement, dated as of May 23,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Funds borrowed under the 2026 Five-Year Credit Agreement and the 2026 364-Day Credit Agreement may be used for general corporate purposes. Subject to certain conditions, we may borrow, prepay and reborrow amounts under these agreements. As of September 5, 2026, there were no outstanding borrowings under the 2026 Five-Year Credit Agreement or the 2026 364-Day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8 - Financial Instruments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are exposed to market risks arising from adverse changes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commodity prices, affecting the cost of our raw materials and energy;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foreign exchange rates and currency restrictions;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interest rates.</w:t>
      </w:r>
    </w:p>
    <w:p>
      <w:pPr>
        <w:pStyle w:val="TextBody"/>
        <w:bidi w:val="0"/>
        <w:spacing w:lineRule="auto" w:line="288" w:before="120" w:after="120"/>
        <w:jc w:val="both"/>
        <w:rPr/>
      </w:pPr>
      <w:r>
        <w:rPr>
          <w:rFonts w:ascii="Times New Roman;serif" w:hAnsi="Times New Roman;serif"/>
          <w:b w:val="false"/>
          <w:color w:val="000000"/>
          <w:sz w:val="24"/>
        </w:rPr>
        <w:t>There have been no material changes during the 36 weeks ended September 5, 2026 with respect to our risk management policies or strategies and valuation techniques used in measuring the fair value of the financial assets or liabilities disclosed in Note 9 to our consolidated financial statements in our 2025 Form 10-K.</w:t>
      </w:r>
      <w:r>
        <w:rPr>
          <w:color w:val="000000"/>
          <w:shd w:fill="FFFFFF" w:val="clear"/>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Occasionally, we are exposed to fluctuation in market prices of certain of our equity investments. </w:t>
      </w:r>
      <w:bookmarkStart w:id="11" w:name="i34d116fed7be4d4e93d66089ca58685d_20829"/>
      <w:bookmarkEnd w:id="11"/>
      <w:r>
        <w:rPr>
          <w:rFonts w:ascii="Times New Roman;serif" w:hAnsi="Times New Roman;serif"/>
          <w:b w:val="false"/>
          <w:color w:val="000000"/>
          <w:sz w:val="24"/>
        </w:rPr>
        <w:t>Subsequent to September 5, 2026, we manage this risk through the use of derivative or non-derivative instruments, including forward contracts. Derivative positions are marked to market each period with the resulting gains and losses offset by price changes in the underlying hedged investments. Cash flows associated with the settlement of these instruments are classified within investing activities.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of our agreements with our counterparties require us to post full collateral on derivative instruments in a net liability position if our credit rating is at A2 (Moody’s Investors Service, Inc.) or A (S&amp;P Global Ratings) and we have been placed on credit watch for possible downgrade or if our credit rating falls below either of these levels. The fair value of all derivative instruments with credit-risk-related contingent features that were in a net liability position as of September 5, 2026 was $156 million. We have posted no collateral under these contracts and no credit-risk-related contingent features were triggered as of September 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notional amounts of our financial instruments used to hedge the above risks are as follows:</w:t>
      </w:r>
    </w:p>
    <w:tbl>
      <w:tblPr>
        <w:tblW w:w="5899" w:type="dxa"/>
        <w:jc w:val="center"/>
        <w:tblInd w:w="0" w:type="dxa"/>
        <w:tblLayout w:type="fixed"/>
        <w:tblCellMar>
          <w:top w:w="28" w:type="dxa"/>
          <w:left w:w="28" w:type="dxa"/>
          <w:bottom w:w="28" w:type="dxa"/>
          <w:right w:w="28" w:type="dxa"/>
        </w:tblCellMar>
      </w:tblPr>
      <w:tblGrid>
        <w:gridCol w:w="1222"/>
        <w:gridCol w:w="1075"/>
        <w:gridCol w:w="1078"/>
        <w:gridCol w:w="234"/>
        <w:gridCol w:w="608"/>
        <w:gridCol w:w="113"/>
        <w:gridCol w:w="113"/>
        <w:gridCol w:w="113"/>
        <w:gridCol w:w="113"/>
        <w:gridCol w:w="328"/>
        <w:gridCol w:w="678"/>
        <w:gridCol w:w="22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Notional Amounts</w:t>
            </w:r>
            <w:r>
              <w:rPr>
                <w:rFonts w:ascii="Times New Roman;serif" w:hAnsi="Times New Roman;serif"/>
                <w:b/>
                <w:color w:val="000000"/>
                <w:sz w:val="16"/>
              </w:rPr>
              <w:t>(a)</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9/5/2026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12/27/2025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Commodity contracts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rate swap contracts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(b)</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Non-derivative debt instruments </w:t>
            </w:r>
            <w:r>
              <w:rPr>
                <w:rFonts w:ascii="Times New Roman;serif" w:hAnsi="Times New Roman;serif"/>
                <w:b w:val="false"/>
                <w:color w:val="000000"/>
                <w:sz w:val="16"/>
              </w:rPr>
              <w:t>(b)</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11.7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(a)In billions. </w:t>
      </w:r>
      <w:bookmarkStart w:id="12" w:name="i34d116fed7be4d4e93d66089ca58685d_20830"/>
      <w:bookmarkEnd w:id="12"/>
      <w:r>
        <w:rPr>
          <w:rFonts w:ascii="Times New Roman;serif" w:hAnsi="Times New Roman;serif"/>
          <w:b w:val="false"/>
          <w:color w:val="000000"/>
          <w:sz w:val="18"/>
        </w:rPr>
        <w:t>Subsequent to September 5, 2026, we entered into a forward sale contract for a notional amount of $253 million to hedge the exposure to changes in price of an investment.</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(b)During the 36 weeks ended September 5, 2026, we designated $4.5 billion of existing euro denominated debt and $2.9 billion of euro denominated debt issued in February 2026 as net investment hedges to partially offset the effects of foreign currency on our investments in certain of our foreign operations. </w:t>
      </w:r>
      <w:bookmarkStart w:id="13" w:name="i34d116fed7be4d4e93d66089ca58685d_20831"/>
      <w:bookmarkEnd w:id="13"/>
      <w:r>
        <w:rPr>
          <w:rFonts w:ascii="Times New Roman;serif" w:hAnsi="Times New Roman;serif"/>
          <w:b w:val="false"/>
          <w:color w:val="000000"/>
          <w:sz w:val="18"/>
        </w:rPr>
        <w:t>During the 12 and 36 weeks ended September 5, 2026, we designated $580 million of foreign exchange contracts maturing in October 2026 as net investment hedges to partially offset the effects of foreign currency on our investments in certain of our foreign operations.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(c)During the 36 weeks ended September 5, 2026, U.S. dollar for euro cross-currency interest rate swaps with a total notional amount of $0.7 billion matured. </w:t>
      </w:r>
      <w:bookmarkStart w:id="14" w:name="i34d116fed7be4d4e93d66089ca58685d_20817"/>
      <w:bookmarkEnd w:id="14"/>
      <w:r>
        <w:rPr>
          <w:rFonts w:ascii="Times New Roman;serif" w:hAnsi="Times New Roman;serif"/>
          <w:b w:val="false"/>
          <w:color w:val="000000"/>
          <w:sz w:val="18"/>
        </w:rPr>
        <w:t>During the 12 and 36 weeks ended September 5, 2026, we entered into Thai baht for U.S. dollar cross-currency interest rate swaps with a total notional amount of $0.3 billion and maturity dates ranging from May 2027 to May 2031. The cross-currency interest rate swaps are designated as net investment hedges to hedge the net assets of certain foreign operations with Thai baht functional currency.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September 5, 2026, approximately 15% of total debt was subject to variable rates, after the impact of the related interest rate swap contracts, compared to approximately 11% as of December 27, 2025.</w:t>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Debt Securities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Held-to-Maturity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Investments in debt securities that we have the positive intent and ability to hold until maturity are classified as held-to-maturity. </w:t>
      </w:r>
      <w:bookmarkStart w:id="15" w:name="i34d116fed7be4d4e93d66089ca58685d_20816"/>
      <w:bookmarkEnd w:id="15"/>
      <w:r>
        <w:rPr>
          <w:rFonts w:ascii="Times New Roman;serif" w:hAnsi="Times New Roman;serif"/>
          <w:b w:val="false"/>
          <w:color w:val="000000"/>
          <w:sz w:val="24"/>
        </w:rPr>
        <w:t>As of September 5, 2026, we had $70 million of investments in U.S. municipal bonds held-to-maturity debt securities with $25 million recorded in short-term investments and $45 million recorded in other assets. As of December 27, 2025, our held-to-maturity debt securities were not material. Held-to-maturity debt securities are recorded at amortized cost, which approximates fair value, and realized gains or losses are reported in earnings. As of September 5, 2026 and December 27, 2025, gross unrecognized gains and losses and the allowance for expected credit losses were not material.</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Available-for-Sale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On August 28, 2025, as part of the Celsius Transaction described in Note 4, we acquired Series B convertible preferred shares, issued by Celsius, valued at $585 million upon acquisition, excluding acquisition-related charges. These Series B convertible preferred shares include certain conversion and redemption features and convert into Celsius common shares after six years from issuance if certain market-based conditions are met, or can be redeemed for cash after seven years from issuance. Shares underlying the transaction were priced at $51.75 per share, and the preferred shares are entitled to a 5% annual dividend, payable either in cash or in-kind. Given our redemption right, we classified our investment in the convertible preferred stock as a Level 3 investment in available-for-sale debt securities, consistent with the Series A convertible preferred shares issued by Celsius that we also hold. In addition, as part of this transaction, the conversion and redemption periods of the Series A convertible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shares were extended to match the terms of the newly issued Series B convertible preferred shares, which was accounted for as a modification.</w:t>
      </w:r>
    </w:p>
    <w:p>
      <w:pPr>
        <w:pStyle w:val="TextBody"/>
        <w:bidi w:val="0"/>
        <w:spacing w:lineRule="auto" w:line="288" w:before="120" w:after="60"/>
        <w:jc w:val="both"/>
        <w:rPr>
          <w:rFonts w:ascii="Times New Roman;serif" w:hAnsi="Times New Roman;serif"/>
          <w:b w:val="false"/>
          <w:color w:val="000000"/>
          <w:sz w:val="24"/>
        </w:rPr>
      </w:pPr>
      <w:r>
        <w:rPr>
          <w:rFonts w:ascii="Times New Roman;serif" w:hAnsi="Times New Roman;serif"/>
          <w:b w:val="false"/>
          <w:color w:val="000000"/>
          <w:sz w:val="24"/>
        </w:rPr>
        <w:t>The activity related to our Level 3 investments in certain available-for-sale debt securities is as follows:</w:t>
      </w:r>
    </w:p>
    <w:tbl>
      <w:tblPr>
        <w:tblW w:w="9751" w:type="dxa"/>
        <w:jc w:val="left"/>
        <w:tblInd w:w="0" w:type="dxa"/>
        <w:tblLayout w:type="fixed"/>
        <w:tblCellMar>
          <w:top w:w="28" w:type="dxa"/>
          <w:left w:w="28" w:type="dxa"/>
          <w:bottom w:w="28" w:type="dxa"/>
          <w:right w:w="28" w:type="dxa"/>
        </w:tblCellMar>
      </w:tblPr>
      <w:tblGrid>
        <w:gridCol w:w="1634"/>
        <w:gridCol w:w="1432"/>
        <w:gridCol w:w="1449"/>
        <w:gridCol w:w="109"/>
        <w:gridCol w:w="109"/>
        <w:gridCol w:w="109"/>
        <w:gridCol w:w="109"/>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849" w:type="dxa"/>
            <w:gridSpan w:val="18"/>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Celsius: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Balance, end of period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3 available-for-sale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bookmarkStart w:id="16" w:name="i34d116fed7be4d4e93d66089ca58685d_20835"/>
      <w:bookmarkEnd w:id="16"/>
      <w:r>
        <w:rPr>
          <w:rFonts w:ascii="Times New Roman;serif" w:hAnsi="Times New Roman;serif"/>
          <w:b w:val="false"/>
          <w:color w:val="000000"/>
          <w:sz w:val="18"/>
        </w:rPr>
        <w:t>(a)Subsequent to September 5, 2026, we converted this available-for-sale debt security into common shares of the issuer pursuant to the terms of the investment agreement. Additionally, we executed a forward sale contract to hedge the exposure to changes in market price of this investment, resulting in an expected pre-tax income of $50 million to be recognized in corporate unallocated expenses in the fourth quarter of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were no impairment charges related to our investments in available-for-sale debt securities in both the 36 weeks ended September 5, 2026 and September 6, 2025. There were net unrealized gains of $557 million and $1,067 million as of September 5, 2026 and September 6, 2025, respectively, associated with our available-for-sale debt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Recurring Fair Value Measurements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fair values of our financial assets and liabilities are categorized as follows:</w:t>
      </w:r>
    </w:p>
    <w:tbl>
      <w:tblPr>
        <w:tblW w:w="10205" w:type="dxa"/>
        <w:jc w:val="left"/>
        <w:tblInd w:w="0" w:type="dxa"/>
        <w:tblLayout w:type="fixed"/>
        <w:tblCellMar>
          <w:top w:w="28" w:type="dxa"/>
          <w:left w:w="28" w:type="dxa"/>
          <w:bottom w:w="28" w:type="dxa"/>
          <w:right w:w="28" w:type="dxa"/>
        </w:tblCellMar>
      </w:tblPr>
      <w:tblGrid>
        <w:gridCol w:w="899"/>
        <w:gridCol w:w="790"/>
        <w:gridCol w:w="792"/>
        <w:gridCol w:w="657"/>
        <w:gridCol w:w="657"/>
        <w:gridCol w:w="659"/>
        <w:gridCol w:w="109"/>
        <w:gridCol w:w="109"/>
        <w:gridCol w:w="109"/>
        <w:gridCol w:w="226"/>
        <w:gridCol w:w="706"/>
        <w:gridCol w:w="109"/>
        <w:gridCol w:w="109"/>
        <w:gridCol w:w="109"/>
        <w:gridCol w:w="109"/>
        <w:gridCol w:w="311"/>
        <w:gridCol w:w="727"/>
        <w:gridCol w:w="151"/>
        <w:gridCol w:w="109"/>
        <w:gridCol w:w="109"/>
        <w:gridCol w:w="109"/>
        <w:gridCol w:w="226"/>
        <w:gridCol w:w="706"/>
        <w:gridCol w:w="109"/>
        <w:gridCol w:w="109"/>
        <w:gridCol w:w="109"/>
        <w:gridCol w:w="109"/>
        <w:gridCol w:w="290"/>
        <w:gridCol w:w="677"/>
        <w:gridCol w:w="205"/>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Fair Value Hierarchy Levels</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9/5/2026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12/27/2025</w:t>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Assets</w:t>
            </w:r>
            <w:r>
              <w:rPr>
                <w:rFonts w:ascii="Times New Roman;serif" w:hAnsi="Times New Roman;serif"/>
                <w:b/>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4"/>
              </w:rPr>
              <w:t>Liabilities</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Assets</w:t>
            </w:r>
            <w:r>
              <w:rPr>
                <w:rFonts w:ascii="Times New Roman;serif" w:hAnsi="Times New Roman;serif"/>
                <w:b w:val="false"/>
                <w:color w:val="000000"/>
                <w:sz w:val="16"/>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4"/>
              </w:rPr>
              <w:t>Liabilities</w:t>
            </w:r>
            <w:r>
              <w:rPr>
                <w:rFonts w:ascii="Times New Roman;serif" w:hAnsi="Times New Roman;serif"/>
                <w:b w:val="false"/>
                <w:color w:val="000000"/>
                <w:sz w:val="16"/>
              </w:rPr>
              <w:t>(a)</w:t>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Available-for-sale debt securities </w:t>
            </w:r>
            <w:r>
              <w:rPr>
                <w:rFonts w:ascii="Times New Roman;serif" w:hAnsi="Times New Roman;serif"/>
                <w:b w:val="false"/>
                <w:color w:val="000000"/>
                <w:sz w:val="16"/>
              </w:rPr>
              <w:t>(b)</w:t>
            </w:r>
          </w:p>
        </w:tc>
        <w:tc>
          <w:tcPr>
            <w:tcW w:w="1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Index funds </w:t>
            </w:r>
            <w:r>
              <w:rPr>
                <w:rFonts w:ascii="Times New Roman;serif" w:hAnsi="Times New Roman;serif"/>
                <w:b w:val="false"/>
                <w:color w:val="000000"/>
                <w:sz w:val="16"/>
              </w:rPr>
              <w:t>(c)</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Deferred compensation </w:t>
            </w:r>
            <w:r>
              <w:rPr>
                <w:rFonts w:ascii="Times New Roman;serif" w:hAnsi="Times New Roman;serif"/>
                <w:b w:val="false"/>
                <w:color w:val="000000"/>
                <w:sz w:val="16"/>
              </w:rPr>
              <w:t>(d)</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506</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bookmarkStart w:id="17" w:name="i12908da2df05454fb9bc51294d96b126_7-0-1-"/>
            <w:bookmarkEnd w:id="17"/>
            <w:r>
              <w:rPr>
                <w:rFonts w:ascii="Times New Roman;serif" w:hAnsi="Times New Roman;serif"/>
                <w:b w:val="false"/>
                <w:color w:val="000000"/>
                <w:sz w:val="24"/>
              </w:rPr>
              <w:t xml:space="preserve">Contingent consideration </w:t>
            </w:r>
            <w:r>
              <w:rPr>
                <w:rFonts w:ascii="Times New Roman;serif" w:hAnsi="Times New Roman;serif"/>
                <w:b w:val="false"/>
                <w:color w:val="000000"/>
                <w:sz w:val="16"/>
              </w:rPr>
              <w:t>(e)</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12</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278 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fair value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Interest rate swap contracts </w:t>
            </w:r>
            <w:r>
              <w:rPr>
                <w:rFonts w:ascii="Times New Roman;serif" w:hAnsi="Times New Roman;serif"/>
                <w:b w:val="false"/>
                <w:color w:val="000000"/>
                <w:sz w:val="16"/>
              </w:rPr>
              <w:t>(f)</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38</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20</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Commodity contracts </w:t>
            </w:r>
            <w:r>
              <w:rPr>
                <w:rFonts w:ascii="Times New Roman;serif" w:hAnsi="Times New Roman;serif"/>
                <w:b w:val="false"/>
                <w:color w:val="000000"/>
                <w:sz w:val="16"/>
              </w:rPr>
              <w:t>(h)</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15</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designated as net investment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Cross-currency contracts </w:t>
            </w:r>
            <w:r>
              <w:rPr>
                <w:rFonts w:ascii="Times New Roman;serif" w:hAnsi="Times New Roman;serif"/>
                <w:b w:val="false"/>
                <w:color w:val="000000"/>
                <w:sz w:val="16"/>
              </w:rPr>
              <w:t>(g)</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132</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135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3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4"/>
              </w:rPr>
            </w:pPr>
            <w:r>
              <w:rPr>
                <w:rFonts w:ascii="Times New Roman;serif" w:hAnsi="Times New Roman;serif"/>
                <w:b/>
                <w:i/>
                <w:color w:val="000000"/>
                <w:sz w:val="24"/>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Foreign exchange contracts </w:t>
            </w:r>
            <w:r>
              <w:rPr>
                <w:rFonts w:ascii="Times New Roman;serif" w:hAnsi="Times New Roman;serif"/>
                <w:b w:val="false"/>
                <w:color w:val="000000"/>
                <w:sz w:val="16"/>
              </w:rPr>
              <w:t>(g)</w:t>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23</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Commodity contracts </w:t>
            </w:r>
            <w:r>
              <w:rPr>
                <w:rFonts w:ascii="Times New Roman;serif" w:hAnsi="Times New Roman;serif"/>
                <w:b w:val="false"/>
                <w:color w:val="000000"/>
                <w:sz w:val="16"/>
              </w:rPr>
              <w:t>(h)</w:t>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Total derivatives at fair value </w:t>
            </w:r>
            <w:r>
              <w:rPr>
                <w:rFonts w:ascii="Times New Roman;serif" w:hAnsi="Times New Roman;serif"/>
                <w:b w:val="false"/>
                <w:color w:val="000000"/>
                <w:sz w:val="16"/>
              </w:rPr>
              <w:t>(i)</w:t>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238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756</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(a)Fair value hierarchy levels are categorized consistently by Level 1 (quoted prices in active markets for identical assets), Level 2 (significant other observable inputs) and Level 3 in both years. Unless otherwise noted, financial assets are classified on our balance sheet within prepaid expenses and other current assets and other assets. Financial liabilities are classified on our balance sheet within accounts </w:t>
      </w:r>
      <w:r>
        <w:rPr>
          <w:rFonts w:ascii="Times New Roman;serif" w:hAnsi="Times New Roman;serif"/>
          <w:b w:val="false"/>
          <w:color w:val="000000"/>
          <w:sz w:val="18"/>
          <w:shd w:fill="FFFFFF" w:val="clear"/>
        </w:rPr>
        <w:t>payable and other current liabilities and other liabilities.</w:t>
      </w:r>
    </w:p>
    <w:p>
      <w:pPr>
        <w:pStyle w:val="TextBody"/>
        <w:bidi w:val="0"/>
        <w:spacing w:lineRule="auto" w:line="288" w:before="0" w:after="0"/>
        <w:ind w:left="0" w:right="0" w:hanging="360"/>
        <w:jc w:val="both"/>
        <w:rPr/>
      </w:pPr>
      <w:r>
        <w:rPr>
          <w:rFonts w:ascii="Times New Roman;serif" w:hAnsi="Times New Roman;serif"/>
          <w:b w:val="false"/>
          <w:color w:val="000000"/>
          <w:sz w:val="18"/>
        </w:rPr>
        <w:t>(b)Classified as other assets. The fair value of our investment in Celsius is estimated using probability-weighted discounted future cash flows based on a Monte Carlo simulation using significant unobservable inputs, such as an 80% probability that a certain market-based condition will be met and an average estimated discount rate of 8.9% and 8.5% as of September 5, 2026 and December 27, 2025, respectively. The fair value of the other investment is estimated using a lattice model primarily based on the underlying stock price, volatility and certain significant unobservable inputs, such as a discount rate of 8.3% based on an estimated synthetic credit rating. An increase in the probability that certain market-based conditions will be met or a decrease in the discount rate would result in a higher fair value measurement, while a decrease in the probability that certain market-based conditions will be met or an increase in the discount rate would result in a low</w:t>
      </w:r>
      <w:r>
        <w:rPr>
          <w:rFonts w:ascii="Times New Roman;serif" w:hAnsi="Times New Roman;serif"/>
          <w:b w:val="false"/>
          <w:color w:val="000000"/>
          <w:sz w:val="18"/>
          <w:shd w:fill="FFFFFF" w:val="clear"/>
        </w:rPr>
        <w:t xml:space="preserve">er fair value measurement. </w:t>
      </w:r>
      <w:bookmarkStart w:id="18" w:name="i34d116fed7be4d4e93d66089ca58685d_20834"/>
      <w:bookmarkEnd w:id="18"/>
      <w:r>
        <w:rPr>
          <w:rFonts w:ascii="Times New Roman;serif" w:hAnsi="Times New Roman;serif"/>
          <w:b w:val="false"/>
          <w:color w:val="000000"/>
          <w:sz w:val="18"/>
        </w:rPr>
        <w:t>Subsequent to September 5, 2026, we converted the other available-for-sale debt security into common shares of the issuer pursuant to the terms of the investment agreement. Additionally, we executed a forward sale contract to hedge the exposure to changes in market price of this investment, resulting in an expected pre-tax income of $50 million to be recognized in corporate unallocated expenses in the fourth quarter of 2026.</w:t>
      </w:r>
    </w:p>
    <w:p>
      <w:pPr>
        <w:pStyle w:val="TextBody"/>
        <w:bidi w:val="0"/>
        <w:spacing w:lineRule="auto" w:line="288" w:before="0" w:after="0"/>
        <w:ind w:left="0" w:right="0" w:hanging="360"/>
        <w:jc w:val="both"/>
        <w:rPr/>
      </w:pPr>
      <w:r>
        <w:rPr>
          <w:rFonts w:ascii="Times New Roman;serif" w:hAnsi="Times New Roman;serif"/>
          <w:b w:val="false"/>
          <w:color w:val="000000"/>
          <w:sz w:val="18"/>
          <w:shd w:fill="FFFFFF" w:val="clear"/>
        </w:rPr>
        <w:t>(c)</w:t>
      </w:r>
      <w:r>
        <w:rPr>
          <w:rFonts w:ascii="Times New Roman;serif" w:hAnsi="Times New Roman;serif"/>
          <w:b w:val="false"/>
          <w:color w:val="000000"/>
          <w:sz w:val="18"/>
        </w:rPr>
        <w:t xml:space="preserve">Based on the price of index funds. These investments are classified as short-term investments and are used to manage a portion of market risk arising from our deferred compensation liability.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(d)Based on the fair value of investments corresponding to employees’ investment elections.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(e)In connection with our acquisition of VNGR Beverage, LLC (poppi), we recorded a contingent consideration liability measured at fair value. Under the terms of the arrangement, we will be required to make a payment of $300 million if certain performance milestones are achieved by the third quarter of 2027; otherwise, no payment will be made. The fair value of the liability is estimated using discounted future cash flows based on a Monte Carlo simulation using significant unobservable inputs such as forecasts of net revenue and margin. An increase in the net revenue and margin forecasts would result in a higher fair value measurement, while a decrease in the net revenue and margin forecasts would result in a lower fair value measurement. </w:t>
      </w:r>
      <w:bookmarkStart w:id="19" w:name="i34d116fed7be4d4e93d66089ca58685d_20824"/>
      <w:bookmarkEnd w:id="19"/>
      <w:r>
        <w:rPr>
          <w:rFonts w:ascii="Times New Roman;serif" w:hAnsi="Times New Roman;serif"/>
          <w:b w:val="false"/>
          <w:color w:val="000000"/>
          <w:sz w:val="18"/>
        </w:rPr>
        <w:t>As of September 5, 2026, the fair value of the contingent consideration was $12 million, reflecting a fair value decrease of $105 million and $266 million in the 12 and 36 weeks ended September 5, 2026, respectively, recorded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(f)Based on Secured Overnight Financing Rate forward rates. As of September 5, 2026, the carrying amount of hedged fixed-rate debt was $2.0 billion, which was classified on the balance sheet within long-term debt obligations.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(g)Based on recently reported market transactions of spot and/or forward rates.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(h)Primarily based on recently reported market transactions of swap arrangements.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(i)Derivative assets and liabilities are presented on a gross basis on our balance sheet. Amounts subject to enforceable master netting arrangements or similar agreements which are not offset on our balance sheet as of September 5, 2026 and December 27, 2025 were not material. Collateral received or posted against our asset or liability positions was not material. Exchange-traded commodity futures are cash-settled on a daily basis and, therefore, not included in the table.</w:t>
      </w:r>
    </w:p>
    <w:p>
      <w:pPr>
        <w:pStyle w:val="TextBody"/>
        <w:bidi w:val="0"/>
        <w:spacing w:lineRule="auto" w:line="288" w:before="120" w:after="120"/>
        <w:jc w:val="both"/>
        <w:rPr/>
      </w:pPr>
      <w:r>
        <w:rPr>
          <w:rFonts w:ascii="Times New Roman;serif" w:hAnsi="Times New Roman;serif"/>
          <w:b w:val="false"/>
          <w:color w:val="000000"/>
          <w:sz w:val="24"/>
        </w:rPr>
        <w:t>The carrying amounts of our cash and cash equivalents and short-term investments recorded at amortized cost approximate fair value (classified as Level 2 in the fair value hierarchy) due to their short-term maturity. The fair value of our debt obligations as of September 5, 2026</w:t>
      </w:r>
      <w:r>
        <w:rPr>
          <w:color w:val="000000"/>
        </w:rPr>
        <w:t xml:space="preserve"> </w:t>
      </w:r>
      <w:r>
        <w:rPr>
          <w:rFonts w:ascii="Times New Roman;serif" w:hAnsi="Times New Roman;serif"/>
          <w:b w:val="false"/>
          <w:color w:val="000000"/>
          <w:sz w:val="24"/>
        </w:rPr>
        <w:t>and December 27, 2025 was $47 billion and $46 billion, respectively, based upon prices of identical or similar instruments in the marketplace, which are considered Level 2 inputs.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fair value hedges recognized in the income statement are as follows:</w:t>
      </w:r>
    </w:p>
    <w:tbl>
      <w:tblPr>
        <w:tblW w:w="7371" w:type="dxa"/>
        <w:jc w:val="left"/>
        <w:tblInd w:w="0" w:type="dxa"/>
        <w:tblLayout w:type="fixed"/>
        <w:tblCellMar>
          <w:top w:w="28" w:type="dxa"/>
          <w:left w:w="28" w:type="dxa"/>
          <w:bottom w:w="28" w:type="dxa"/>
          <w:right w:w="28" w:type="dxa"/>
        </w:tblCellMar>
      </w:tblPr>
      <w:tblGrid>
        <w:gridCol w:w="902"/>
        <w:gridCol w:w="791"/>
        <w:gridCol w:w="797"/>
        <w:gridCol w:w="109"/>
        <w:gridCol w:w="109"/>
        <w:gridCol w:w="109"/>
        <w:gridCol w:w="109"/>
        <w:gridCol w:w="259"/>
        <w:gridCol w:w="462"/>
        <w:gridCol w:w="134"/>
        <w:gridCol w:w="109"/>
        <w:gridCol w:w="109"/>
        <w:gridCol w:w="109"/>
        <w:gridCol w:w="238"/>
        <w:gridCol w:w="493"/>
        <w:gridCol w:w="123"/>
        <w:gridCol w:w="109"/>
        <w:gridCol w:w="109"/>
        <w:gridCol w:w="109"/>
        <w:gridCol w:w="259"/>
        <w:gridCol w:w="462"/>
        <w:gridCol w:w="134"/>
        <w:gridCol w:w="109"/>
        <w:gridCol w:w="109"/>
        <w:gridCol w:w="109"/>
        <w:gridCol w:w="237"/>
        <w:gridCol w:w="490"/>
        <w:gridCol w:w="173"/>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227"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590" w:type="dxa"/>
            <w:gridSpan w:val="18"/>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contracts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(a)Interest rate derivative losses/(gains) are included in net interest expense and other. These losses/(gains) are substantially offset by decreases/increases in the value of the underlying debt, which are also included in net interest expense and other.</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cash flow hedges are categorized as follows:</w:t>
      </w:r>
    </w:p>
    <w:tbl>
      <w:tblPr>
        <w:tblW w:w="7007" w:type="dxa"/>
        <w:jc w:val="left"/>
        <w:tblInd w:w="0" w:type="dxa"/>
        <w:tblLayout w:type="fixed"/>
        <w:tblCellMar>
          <w:top w:w="28" w:type="dxa"/>
          <w:left w:w="28" w:type="dxa"/>
          <w:bottom w:w="28" w:type="dxa"/>
          <w:right w:w="28" w:type="dxa"/>
        </w:tblCellMar>
      </w:tblPr>
      <w:tblGrid>
        <w:gridCol w:w="874"/>
        <w:gridCol w:w="769"/>
        <w:gridCol w:w="772"/>
        <w:gridCol w:w="259"/>
        <w:gridCol w:w="462"/>
        <w:gridCol w:w="134"/>
        <w:gridCol w:w="118"/>
        <w:gridCol w:w="118"/>
        <w:gridCol w:w="118"/>
        <w:gridCol w:w="249"/>
        <w:gridCol w:w="476"/>
        <w:gridCol w:w="130"/>
        <w:gridCol w:w="109"/>
        <w:gridCol w:w="109"/>
        <w:gridCol w:w="109"/>
        <w:gridCol w:w="261"/>
        <w:gridCol w:w="497"/>
        <w:gridCol w:w="134"/>
        <w:gridCol w:w="134"/>
        <w:gridCol w:w="134"/>
        <w:gridCol w:w="134"/>
        <w:gridCol w:w="261"/>
        <w:gridCol w:w="448"/>
        <w:gridCol w:w="198"/>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Reclassified from</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ableContents"/>
              <w:bidi w:val="0"/>
              <w:spacing w:lineRule="auto" w:line="240" w:before="0" w:after="0"/>
              <w:jc w:val="center"/>
              <w:rPr/>
            </w:pPr>
            <w:r>
              <w:rPr>
                <w:rFonts w:ascii="Times New Roman;serif" w:hAnsi="Times New Roman;serif"/>
                <w:b/>
                <w:color w:val="000000"/>
                <w:sz w:val="20"/>
              </w:rPr>
              <w:t>into Income Statement</w:t>
            </w:r>
            <w:r>
              <w:rPr>
                <w:rFonts w:ascii="Times New Roman;serif" w:hAnsi="Times New Roman;serif"/>
                <w:b/>
                <w:color w:val="000000"/>
                <w:sz w:val="13"/>
              </w:rPr>
              <w:t>(a)</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color w:val="000000"/>
              </w:rPr>
              <w:t xml:space="preserve">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02" w:type="dxa"/>
        <w:jc w:val="center"/>
        <w:tblInd w:w="0" w:type="dxa"/>
        <w:tblLayout w:type="fixed"/>
        <w:tblCellMar>
          <w:top w:w="28" w:type="dxa"/>
          <w:left w:w="28" w:type="dxa"/>
          <w:bottom w:w="28" w:type="dxa"/>
          <w:right w:w="28" w:type="dxa"/>
        </w:tblCellMar>
      </w:tblPr>
      <w:tblGrid>
        <w:gridCol w:w="874"/>
        <w:gridCol w:w="769"/>
        <w:gridCol w:w="772"/>
        <w:gridCol w:w="109"/>
        <w:gridCol w:w="109"/>
        <w:gridCol w:w="199"/>
        <w:gridCol w:w="199"/>
        <w:gridCol w:w="385"/>
        <w:gridCol w:w="878"/>
        <w:gridCol w:w="200"/>
        <w:gridCol w:w="109"/>
        <w:gridCol w:w="109"/>
        <w:gridCol w:w="109"/>
        <w:gridCol w:w="222"/>
        <w:gridCol w:w="570"/>
        <w:gridCol w:w="114"/>
        <w:gridCol w:w="114"/>
        <w:gridCol w:w="114"/>
        <w:gridCol w:w="114"/>
        <w:gridCol w:w="222"/>
        <w:gridCol w:w="570"/>
        <w:gridCol w:w="114"/>
        <w:gridCol w:w="109"/>
        <w:gridCol w:w="109"/>
        <w:gridCol w:w="109"/>
        <w:gridCol w:w="237"/>
        <w:gridCol w:w="490"/>
        <w:gridCol w:w="17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Reclassified from</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p>
            <w:pPr>
              <w:pStyle w:val="TableContents"/>
              <w:bidi w:val="0"/>
              <w:spacing w:lineRule="auto" w:line="240" w:before="0" w:after="0"/>
              <w:jc w:val="center"/>
              <w:rPr/>
            </w:pPr>
            <w:r>
              <w:rPr>
                <w:rFonts w:ascii="Times New Roman;serif" w:hAnsi="Times New Roman;serif"/>
                <w:b/>
                <w:color w:val="000000"/>
                <w:sz w:val="20"/>
              </w:rPr>
              <w:t>into Income Statement</w:t>
            </w:r>
            <w:r>
              <w:rPr>
                <w:rFonts w:ascii="Times New Roman;serif" w:hAnsi="Times New Roman;serif"/>
                <w:b/>
                <w:color w:val="000000"/>
                <w:sz w:val="13"/>
              </w:rPr>
              <w:t>(a)</w:t>
            </w:r>
          </w:p>
        </w:tc>
        <w:tc>
          <w:tcPr>
            <w:tcW w:w="1227"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(a)Foreign exchange derivative losses/(gains) are included in net revenue and cost of sales. Cross-currency interest rate swap derivative losses/(gains) are included in selling, general and administrative expenses. Commodity derivative losses/(gains) are included in either cost of sales or selling, general and administrative expenses, depending on the underlying commodity. See Note 10 for further information.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September 5, 2026, we expect to reclassify net gains of $160 million related to our cash flow hedges from accumulated other comprehensive loss within common shareholders’ equity into net income during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on our net investment hedges are categorized as follows:</w:t>
      </w:r>
    </w:p>
    <w:tbl>
      <w:tblPr>
        <w:tblW w:w="9387" w:type="dxa"/>
        <w:jc w:val="left"/>
        <w:tblInd w:w="0" w:type="dxa"/>
        <w:tblLayout w:type="fixed"/>
        <w:tblCellMar>
          <w:top w:w="28" w:type="dxa"/>
          <w:left w:w="28" w:type="dxa"/>
          <w:bottom w:w="28" w:type="dxa"/>
          <w:right w:w="28" w:type="dxa"/>
        </w:tblCellMar>
      </w:tblPr>
      <w:tblGrid>
        <w:gridCol w:w="993"/>
        <w:gridCol w:w="874"/>
        <w:gridCol w:w="878"/>
        <w:gridCol w:w="109"/>
        <w:gridCol w:w="109"/>
        <w:gridCol w:w="221"/>
        <w:gridCol w:w="221"/>
        <w:gridCol w:w="429"/>
        <w:gridCol w:w="765"/>
        <w:gridCol w:w="225"/>
        <w:gridCol w:w="109"/>
        <w:gridCol w:w="109"/>
        <w:gridCol w:w="109"/>
        <w:gridCol w:w="366"/>
        <w:gridCol w:w="627"/>
        <w:gridCol w:w="189"/>
        <w:gridCol w:w="189"/>
        <w:gridCol w:w="189"/>
        <w:gridCol w:w="189"/>
        <w:gridCol w:w="366"/>
        <w:gridCol w:w="706"/>
        <w:gridCol w:w="189"/>
        <w:gridCol w:w="109"/>
        <w:gridCol w:w="109"/>
        <w:gridCol w:w="109"/>
        <w:gridCol w:w="246"/>
        <w:gridCol w:w="474"/>
        <w:gridCol w:w="179"/>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pPr>
            <w:r>
              <w:rPr>
                <w:rFonts w:ascii="Times New Roman;serif" w:hAnsi="Times New Roman;serif"/>
                <w:b/>
                <w:color w:val="000000"/>
                <w:sz w:val="20"/>
              </w:rPr>
              <w:t>Recognized in Income Statement</w:t>
            </w:r>
            <w:r>
              <w:rPr>
                <w:rFonts w:ascii="Times New Roman;serif" w:hAnsi="Times New Roman;serif"/>
                <w:b/>
                <w:color w:val="000000"/>
                <w:sz w:val="13"/>
              </w:rPr>
              <w:t>(a)</w:t>
            </w:r>
          </w:p>
        </w:tc>
        <w:tc>
          <w:tcPr>
            <w:tcW w:w="1226"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 debt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contracts</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86" w:type="dxa"/>
        <w:jc w:val="left"/>
        <w:tblInd w:w="0" w:type="dxa"/>
        <w:tblLayout w:type="fixed"/>
        <w:tblCellMar>
          <w:top w:w="28" w:type="dxa"/>
          <w:left w:w="28" w:type="dxa"/>
          <w:bottom w:w="28" w:type="dxa"/>
          <w:right w:w="28" w:type="dxa"/>
        </w:tblCellMar>
      </w:tblPr>
      <w:tblGrid>
        <w:gridCol w:w="993"/>
        <w:gridCol w:w="874"/>
        <w:gridCol w:w="878"/>
        <w:gridCol w:w="109"/>
        <w:gridCol w:w="109"/>
        <w:gridCol w:w="199"/>
        <w:gridCol w:w="199"/>
        <w:gridCol w:w="385"/>
        <w:gridCol w:w="878"/>
        <w:gridCol w:w="200"/>
        <w:gridCol w:w="109"/>
        <w:gridCol w:w="109"/>
        <w:gridCol w:w="109"/>
        <w:gridCol w:w="340"/>
        <w:gridCol w:w="751"/>
        <w:gridCol w:w="175"/>
        <w:gridCol w:w="175"/>
        <w:gridCol w:w="175"/>
        <w:gridCol w:w="175"/>
        <w:gridCol w:w="340"/>
        <w:gridCol w:w="703"/>
        <w:gridCol w:w="175"/>
        <w:gridCol w:w="109"/>
        <w:gridCol w:w="109"/>
        <w:gridCol w:w="109"/>
        <w:gridCol w:w="246"/>
        <w:gridCol w:w="474"/>
        <w:gridCol w:w="179"/>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Recognized in</w:t>
              <w:b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Recognized in Income Statement</w:t>
            </w:r>
            <w:r>
              <w:rPr>
                <w:rFonts w:ascii="Times New Roman;serif" w:hAnsi="Times New Roman;serif"/>
                <w:b/>
                <w:color w:val="000000"/>
                <w:sz w:val="13"/>
              </w:rPr>
              <w:t>(a)</w:t>
            </w:r>
          </w:p>
        </w:tc>
        <w:tc>
          <w:tcPr>
            <w:tcW w:w="1226"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 debt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(a)Amount excluded from the assessment of effectiveness recognized in earnings associated with cross-currency interest rate swaps and forward contracts.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Losses/(gains) recognized in the income statement related to our non-designated hedges are categorized as follows:</w:t>
      </w:r>
    </w:p>
    <w:tbl>
      <w:tblPr>
        <w:tblW w:w="10205" w:type="dxa"/>
        <w:jc w:val="left"/>
        <w:tblInd w:w="0" w:type="dxa"/>
        <w:tblLayout w:type="fixed"/>
        <w:tblCellMar>
          <w:top w:w="28" w:type="dxa"/>
          <w:left w:w="28" w:type="dxa"/>
          <w:bottom w:w="28" w:type="dxa"/>
          <w:right w:w="28" w:type="dxa"/>
        </w:tblCellMar>
      </w:tblPr>
      <w:tblGrid>
        <w:gridCol w:w="613"/>
        <w:gridCol w:w="416"/>
        <w:gridCol w:w="417"/>
        <w:gridCol w:w="240"/>
        <w:gridCol w:w="476"/>
        <w:gridCol w:w="124"/>
        <w:gridCol w:w="109"/>
        <w:gridCol w:w="109"/>
        <w:gridCol w:w="109"/>
        <w:gridCol w:w="620"/>
        <w:gridCol w:w="1105"/>
        <w:gridCol w:w="322"/>
        <w:gridCol w:w="109"/>
        <w:gridCol w:w="109"/>
        <w:gridCol w:w="109"/>
        <w:gridCol w:w="211"/>
        <w:gridCol w:w="392"/>
        <w:gridCol w:w="109"/>
        <w:gridCol w:w="109"/>
        <w:gridCol w:w="109"/>
        <w:gridCol w:w="109"/>
        <w:gridCol w:w="243"/>
        <w:gridCol w:w="468"/>
        <w:gridCol w:w="125"/>
        <w:gridCol w:w="109"/>
        <w:gridCol w:w="109"/>
        <w:gridCol w:w="109"/>
        <w:gridCol w:w="697"/>
        <w:gridCol w:w="897"/>
        <w:gridCol w:w="361"/>
        <w:gridCol w:w="109"/>
        <w:gridCol w:w="109"/>
        <w:gridCol w:w="109"/>
        <w:gridCol w:w="211"/>
        <w:gridCol w:w="361"/>
        <w:gridCol w:w="162"/>
      </w:tblGrid>
      <w:tr>
        <w:trPr/>
        <w:tc>
          <w:tcPr>
            <w:tcW w:w="6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
        <w:gridCol w:w="411"/>
        <w:gridCol w:w="412"/>
        <w:gridCol w:w="239"/>
        <w:gridCol w:w="473"/>
        <w:gridCol w:w="123"/>
        <w:gridCol w:w="109"/>
        <w:gridCol w:w="109"/>
        <w:gridCol w:w="109"/>
        <w:gridCol w:w="531"/>
        <w:gridCol w:w="1214"/>
        <w:gridCol w:w="277"/>
        <w:gridCol w:w="109"/>
        <w:gridCol w:w="109"/>
        <w:gridCol w:w="109"/>
        <w:gridCol w:w="211"/>
        <w:gridCol w:w="497"/>
        <w:gridCol w:w="109"/>
        <w:gridCol w:w="109"/>
        <w:gridCol w:w="109"/>
        <w:gridCol w:w="109"/>
        <w:gridCol w:w="247"/>
        <w:gridCol w:w="424"/>
        <w:gridCol w:w="128"/>
        <w:gridCol w:w="109"/>
        <w:gridCol w:w="109"/>
        <w:gridCol w:w="109"/>
        <w:gridCol w:w="598"/>
        <w:gridCol w:w="1023"/>
        <w:gridCol w:w="310"/>
        <w:gridCol w:w="109"/>
        <w:gridCol w:w="109"/>
        <w:gridCol w:w="109"/>
        <w:gridCol w:w="211"/>
        <w:gridCol w:w="361"/>
        <w:gridCol w:w="162"/>
      </w:tblGrid>
      <w:tr>
        <w:trPr/>
        <w:tc>
          <w:tcPr>
            <w:tcW w:w="6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9 - Net Income Attributable to PepsiCo per Common Share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computations of basic and diluted net income attributable to PepsiCo per common share are as follows:</w:t>
      </w:r>
    </w:p>
    <w:tbl>
      <w:tblPr>
        <w:tblW w:w="9853" w:type="dxa"/>
        <w:jc w:val="left"/>
        <w:tblInd w:w="0" w:type="dxa"/>
        <w:tblLayout w:type="fixed"/>
        <w:tblCellMar>
          <w:top w:w="28" w:type="dxa"/>
          <w:left w:w="28" w:type="dxa"/>
          <w:bottom w:w="28" w:type="dxa"/>
          <w:right w:w="28" w:type="dxa"/>
        </w:tblCellMar>
      </w:tblPr>
      <w:tblGrid>
        <w:gridCol w:w="1853"/>
        <w:gridCol w:w="1628"/>
        <w:gridCol w:w="1634"/>
        <w:gridCol w:w="211"/>
        <w:gridCol w:w="631"/>
        <w:gridCol w:w="109"/>
        <w:gridCol w:w="109"/>
        <w:gridCol w:w="109"/>
        <w:gridCol w:w="109"/>
        <w:gridCol w:w="315"/>
        <w:gridCol w:w="316"/>
        <w:gridCol w:w="281"/>
        <w:gridCol w:w="109"/>
        <w:gridCol w:w="109"/>
        <w:gridCol w:w="109"/>
        <w:gridCol w:w="211"/>
        <w:gridCol w:w="616"/>
        <w:gridCol w:w="109"/>
        <w:gridCol w:w="109"/>
        <w:gridCol w:w="109"/>
        <w:gridCol w:w="109"/>
        <w:gridCol w:w="308"/>
        <w:gridCol w:w="308"/>
        <w:gridCol w:w="342"/>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Shares</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Shares</w:t>
            </w:r>
            <w:r>
              <w:rPr>
                <w:rFonts w:ascii="Times New Roman;serif" w:hAnsi="Times New Roman;serif"/>
                <w:b w:val="false"/>
                <w:color w:val="000000"/>
                <w:sz w:val="13"/>
              </w:rPr>
              <w:t>(a)</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PepsiCo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available for PepsiCo common shareholders</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options, RSUs, PSUs and other </w:t>
            </w:r>
            <w:r>
              <w:rPr>
                <w:rFonts w:ascii="Times New Roman;serif" w:hAnsi="Times New Roman;serif"/>
                <w:b w:val="false"/>
                <w:color w:val="000000"/>
                <w:sz w:val="13"/>
              </w:rPr>
              <w:t>(b)</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PepsiCo per common share</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3" w:type="dxa"/>
        <w:jc w:val="center"/>
        <w:tblInd w:w="0" w:type="dxa"/>
        <w:tblLayout w:type="fixed"/>
        <w:tblCellMar>
          <w:top w:w="28" w:type="dxa"/>
          <w:left w:w="28" w:type="dxa"/>
          <w:bottom w:w="28" w:type="dxa"/>
          <w:right w:w="28" w:type="dxa"/>
        </w:tblCellMar>
      </w:tblPr>
      <w:tblGrid>
        <w:gridCol w:w="1853"/>
        <w:gridCol w:w="1628"/>
        <w:gridCol w:w="1634"/>
        <w:gridCol w:w="211"/>
        <w:gridCol w:w="631"/>
        <w:gridCol w:w="109"/>
        <w:gridCol w:w="109"/>
        <w:gridCol w:w="109"/>
        <w:gridCol w:w="109"/>
        <w:gridCol w:w="315"/>
        <w:gridCol w:w="316"/>
        <w:gridCol w:w="281"/>
        <w:gridCol w:w="109"/>
        <w:gridCol w:w="109"/>
        <w:gridCol w:w="109"/>
        <w:gridCol w:w="211"/>
        <w:gridCol w:w="616"/>
        <w:gridCol w:w="109"/>
        <w:gridCol w:w="109"/>
        <w:gridCol w:w="109"/>
        <w:gridCol w:w="109"/>
        <w:gridCol w:w="308"/>
        <w:gridCol w:w="308"/>
        <w:gridCol w:w="342"/>
      </w:tblGrid>
      <w:tr>
        <w:trPr/>
        <w:tc>
          <w:tcPr>
            <w:tcW w:w="185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Shares</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Shares</w:t>
            </w:r>
            <w:r>
              <w:rPr>
                <w:rFonts w:ascii="Times New Roman;serif" w:hAnsi="Times New Roman;serif"/>
                <w:b w:val="false"/>
                <w:color w:val="000000"/>
                <w:sz w:val="13"/>
              </w:rPr>
              <w:t>(a)</w:t>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PepsiCo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available for PepsiCo common shareholders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options, RSUs, PSUs and other </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PepsiCo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(a)Weighted-average common shares outstanding (in millions).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dilutive effect of these securities is calculated using the treasury stock method.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weighted-average amount of antidilutive securities excluded from the calculation of diluted earnings per common share was 10 million and 9 million for the 12 and 36 weeks ended September 5, 2026, respectively, and 7 million and 8 million for the 12 and 36 weeks ended September 6,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Note 10 - Accumulated Other Comprehensive Loss Attributable to PepsiCo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changes in the balances of each component of accumulated other comprehensive loss attributable to PepsiCo are as follows:</w:t>
      </w:r>
    </w:p>
    <w:tbl>
      <w:tblPr>
        <w:tblW w:w="10205" w:type="dxa"/>
        <w:jc w:val="center"/>
        <w:tblInd w:w="0" w:type="dxa"/>
        <w:tblLayout w:type="fixed"/>
        <w:tblCellMar>
          <w:top w:w="28" w:type="dxa"/>
          <w:left w:w="28" w:type="dxa"/>
          <w:bottom w:w="28" w:type="dxa"/>
          <w:right w:w="28" w:type="dxa"/>
        </w:tblCellMar>
      </w:tblPr>
      <w:tblGrid>
        <w:gridCol w:w="810"/>
        <w:gridCol w:w="455"/>
        <w:gridCol w:w="457"/>
        <w:gridCol w:w="260"/>
        <w:gridCol w:w="883"/>
        <w:gridCol w:w="146"/>
        <w:gridCol w:w="109"/>
        <w:gridCol w:w="109"/>
        <w:gridCol w:w="109"/>
        <w:gridCol w:w="226"/>
        <w:gridCol w:w="504"/>
        <w:gridCol w:w="126"/>
        <w:gridCol w:w="109"/>
        <w:gridCol w:w="109"/>
        <w:gridCol w:w="109"/>
        <w:gridCol w:w="237"/>
        <w:gridCol w:w="713"/>
        <w:gridCol w:w="132"/>
        <w:gridCol w:w="109"/>
        <w:gridCol w:w="109"/>
        <w:gridCol w:w="109"/>
        <w:gridCol w:w="109"/>
        <w:gridCol w:w="109"/>
        <w:gridCol w:w="478"/>
        <w:gridCol w:w="1063"/>
        <w:gridCol w:w="266"/>
        <w:gridCol w:w="109"/>
        <w:gridCol w:w="109"/>
        <w:gridCol w:w="109"/>
        <w:gridCol w:w="370"/>
        <w:gridCol w:w="1252"/>
        <w:gridCol w:w="301"/>
      </w:tblGrid>
      <w:tr>
        <w:trPr/>
        <w:tc>
          <w:tcPr>
            <w:tcW w:w="81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 Retiree Medical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Available-for-Sale Debt Securities and Other</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Attributable to PepsiCo</w:t>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December 27, 2025 </w:t>
            </w:r>
            <w:r>
              <w:rPr>
                <w:rFonts w:ascii="Times New Roman;serif" w:hAnsi="Times New Roman;serif"/>
                <w:b w:val="false"/>
                <w:color w:val="000000"/>
                <w:sz w:val="12"/>
              </w:rPr>
              <w:t>(b)</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(c)</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March 21, 2026 </w:t>
            </w:r>
            <w:r>
              <w:rPr>
                <w:rFonts w:ascii="Times New Roman;serif" w:hAnsi="Times New Roman;serif"/>
                <w:b w:val="false"/>
                <w:color w:val="000000"/>
                <w:sz w:val="12"/>
              </w:rPr>
              <w:t>(b)</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(d)</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Amounts reclassified from accumulated other comprehensive loss</w:t>
            </w:r>
            <w:r>
              <w:rPr>
                <w:color w:val="000000"/>
              </w:rPr>
              <w:t xml:space="preserve"> </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June 13, 2026 </w:t>
            </w:r>
            <w:r>
              <w:rPr>
                <w:rFonts w:ascii="Times New Roman;serif" w:hAnsi="Times New Roman;serif"/>
                <w:b w:val="false"/>
                <w:color w:val="000000"/>
                <w:sz w:val="12"/>
              </w:rPr>
              <w:t>(b)</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(loss)/ income before reclassifications </w:t>
            </w:r>
            <w:r>
              <w:rPr>
                <w:rFonts w:ascii="Times New Roman;serif" w:hAnsi="Times New Roman;serif"/>
                <w:b w:val="false"/>
                <w:color w:val="000000"/>
                <w:sz w:val="12"/>
              </w:rPr>
              <w:t>(e)</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Amounts reclassified from accumulated other comprehensive loss </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(loss)/income</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September 5, 2026 </w:t>
            </w:r>
            <w:r>
              <w:rPr>
                <w:rFonts w:ascii="Times New Roman;serif" w:hAnsi="Times New Roman;serif"/>
                <w:b w:val="false"/>
                <w:color w:val="000000"/>
                <w:sz w:val="12"/>
              </w:rPr>
              <w:t>(b)</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(13,478)</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(14,987)</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movements primarily represent fair value changes in available-for-sale debt securities, including our investment in Celsius convertible preferred stock. See Note 8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(b)Pension and retiree medical amounts are net of taxes of $1,138 million as of December 27, 2025, $1,135 million as of March 21, 2026, $1,130 million as of June 13, 2026 and $1,071 million as of September 5,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(c)Currency translation adjustment primarily reflects appreciation of the euro, Mexican peso and Russian ruble.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(d)Currency translation adjustment primarily reflects appreciation of the Russian ruble.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(e)Currency translation adjustment primarily reflects depreciation of the Russian ruble.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900"/>
        <w:gridCol w:w="503"/>
        <w:gridCol w:w="505"/>
        <w:gridCol w:w="247"/>
        <w:gridCol w:w="861"/>
        <w:gridCol w:w="137"/>
        <w:gridCol w:w="109"/>
        <w:gridCol w:w="109"/>
        <w:gridCol w:w="109"/>
        <w:gridCol w:w="233"/>
        <w:gridCol w:w="501"/>
        <w:gridCol w:w="129"/>
        <w:gridCol w:w="109"/>
        <w:gridCol w:w="109"/>
        <w:gridCol w:w="109"/>
        <w:gridCol w:w="242"/>
        <w:gridCol w:w="731"/>
        <w:gridCol w:w="134"/>
        <w:gridCol w:w="109"/>
        <w:gridCol w:w="109"/>
        <w:gridCol w:w="109"/>
        <w:gridCol w:w="109"/>
        <w:gridCol w:w="109"/>
        <w:gridCol w:w="481"/>
        <w:gridCol w:w="1036"/>
        <w:gridCol w:w="269"/>
        <w:gridCol w:w="109"/>
        <w:gridCol w:w="109"/>
        <w:gridCol w:w="109"/>
        <w:gridCol w:w="341"/>
        <w:gridCol w:w="1151"/>
        <w:gridCol w:w="278"/>
      </w:tblGrid>
      <w:tr>
        <w:trPr/>
        <w:tc>
          <w:tcPr>
            <w:tcW w:w="9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Pension and Retiree Medical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Available-for-Sale Debt Securities and Other</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Loss Attributable</w:t>
              <w:br/>
              <w:t>to PepsiCo</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December 28, 2024 </w:t>
            </w:r>
            <w:r>
              <w:rPr>
                <w:rFonts w:ascii="Times New Roman;serif" w:hAnsi="Times New Roman;serif"/>
                <w:b w:val="false"/>
                <w:color w:val="000000"/>
                <w:sz w:val="12"/>
              </w:rPr>
              <w:t>(b)</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(c)</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March 22, 2025 </w:t>
            </w:r>
            <w:r>
              <w:rPr>
                <w:rFonts w:ascii="Times New Roman;serif" w:hAnsi="Times New Roman;serif"/>
                <w:b w:val="false"/>
                <w:color w:val="000000"/>
                <w:sz w:val="12"/>
              </w:rPr>
              <w:t>(b)</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(17,078)</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comprehensive income/(loss) before reclassifications </w:t>
            </w:r>
            <w:r>
              <w:rPr>
                <w:rFonts w:ascii="Times New Roman;serif" w:hAnsi="Times New Roman;serif"/>
                <w:b w:val="false"/>
                <w:color w:val="000000"/>
                <w:sz w:val="12"/>
              </w:rPr>
              <w:t>(d)</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income/(loss)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June 14, 2025 </w:t>
            </w:r>
            <w:r>
              <w:rPr>
                <w:rFonts w:ascii="Times New Roman;serif" w:hAnsi="Times New Roman;serif"/>
                <w:b w:val="false"/>
                <w:color w:val="000000"/>
                <w:sz w:val="12"/>
              </w:rPr>
              <w:t>(b)</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(16,090)</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income/(loss) before reclassifications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Amounts reclassified from accumulated other comprehensive loss </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amounts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September 6, 2025 </w:t>
            </w:r>
            <w:r>
              <w:rPr>
                <w:rFonts w:ascii="Times New Roman;serif" w:hAnsi="Times New Roman;serif"/>
                <w:b w:val="false"/>
                <w:color w:val="000000"/>
                <w:sz w:val="12"/>
              </w:rPr>
              <w:t>(b)</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(a)The movements primarily represent fair value changes in available-for-sale debt securities, including our investment in Celsius convertible preferred stock. See Note 8 for further information.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(b)Pension and retiree medical amounts are net of taxes of $1,282 million as of December 28, 2024, $1,279 million as of March 22, 2025, $1,284 million as of June 14, 2025 and $1,278 million as of September 6,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(c)Currency translation adjustment primarily reflects appreciation of the Russian ruble and depreciation of the euro.</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(d)Currency translation adjustment primarily reflects appreciation of the Russian ruble, Mexican peso and Canadian dollar.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reclassifications from accumulated other comprehensive loss to the income statement are summarized as follows:</w:t>
      </w:r>
    </w:p>
    <w:tbl>
      <w:tblPr>
        <w:tblW w:w="10205" w:type="dxa"/>
        <w:jc w:val="center"/>
        <w:tblInd w:w="0" w:type="dxa"/>
        <w:tblLayout w:type="fixed"/>
        <w:tblCellMar>
          <w:top w:w="28" w:type="dxa"/>
          <w:left w:w="28" w:type="dxa"/>
          <w:bottom w:w="28" w:type="dxa"/>
          <w:right w:w="28" w:type="dxa"/>
        </w:tblCellMar>
      </w:tblPr>
      <w:tblGrid>
        <w:gridCol w:w="1092"/>
        <w:gridCol w:w="690"/>
        <w:gridCol w:w="669"/>
        <w:gridCol w:w="109"/>
        <w:gridCol w:w="109"/>
        <w:gridCol w:w="109"/>
        <w:gridCol w:w="217"/>
        <w:gridCol w:w="495"/>
        <w:gridCol w:w="112"/>
        <w:gridCol w:w="109"/>
        <w:gridCol w:w="109"/>
        <w:gridCol w:w="109"/>
        <w:gridCol w:w="227"/>
        <w:gridCol w:w="437"/>
        <w:gridCol w:w="117"/>
        <w:gridCol w:w="109"/>
        <w:gridCol w:w="109"/>
        <w:gridCol w:w="109"/>
        <w:gridCol w:w="232"/>
        <w:gridCol w:w="414"/>
        <w:gridCol w:w="120"/>
        <w:gridCol w:w="109"/>
        <w:gridCol w:w="109"/>
        <w:gridCol w:w="109"/>
        <w:gridCol w:w="222"/>
        <w:gridCol w:w="427"/>
        <w:gridCol w:w="115"/>
        <w:gridCol w:w="109"/>
        <w:gridCol w:w="109"/>
        <w:gridCol w:w="109"/>
        <w:gridCol w:w="1000"/>
        <w:gridCol w:w="817"/>
        <w:gridCol w:w="1167"/>
      </w:tblGrid>
      <w:tr>
        <w:trPr/>
        <w:tc>
          <w:tcPr>
            <w:tcW w:w="10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Affected Line Item in the Income Statement</w:t>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Pension and retiree medical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prior service cost/(credits)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(expense)/income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(expense)/income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bookmarkStart w:id="20" w:name="i48a6f209b5d844a284cfc3ab658d010e_22-0-1"/>
            <w:bookmarkEnd w:id="20"/>
            <w:r>
              <w:rPr>
                <w:rFonts w:ascii="Times New Roman;serif" w:hAnsi="Times New Roman;serif"/>
                <w:b w:val="false"/>
                <w:color w:val="000000"/>
                <w:sz w:val="20"/>
              </w:rPr>
              <w:t>Net settlement/curtailment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(expense)/income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losses/(gains) reclassified,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Note 11 -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2025 Acquisitions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On January 17, 2025, we acquired all of the outstanding equity interest in Garza Food Ventures LLC (Siete), a Mexican-American foods business, for total consideration of $1.2 billion in cash.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On May 19, 2025, we acquired all of the outstanding equity interest in poppi, a prebiotic soda business, for cash consideration of $1.9 billion and contingent consideration with an acquisition date fair value of $0.2 billion. See Note 8 for further information on the contingent consideration. In connection with this acquisition, other payments may be incurred, subject to the achievement of certain conditions.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accounted for the 2025 acquisitions as business combinations. We recognized and measured the identifiable assets acquired and liabilities assumed at their estimated fair values on the respective dates of acquisition. </w:t>
      </w:r>
      <w:bookmarkStart w:id="21" w:name="i73f1e29cc20446d9b046e9199848fc13_1748"/>
      <w:bookmarkEnd w:id="21"/>
      <w:r>
        <w:rPr>
          <w:rFonts w:ascii="Times New Roman;serif" w:hAnsi="Times New Roman;serif"/>
          <w:b w:val="false"/>
          <w:color w:val="000000"/>
          <w:sz w:val="24"/>
        </w:rPr>
        <w:t>The purchase price allocations for Siete and poppi were finalized in the first and second quarter of 2026, respectively.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fair value of identifiable assets acquired and liabilities assumed in the acquisitions of Siete and poppi and the resulting goodwill as of the respective acquisition dates is summarized as follows:</w:t>
      </w:r>
    </w:p>
    <w:tbl>
      <w:tblPr>
        <w:tblW w:w="6629" w:type="dxa"/>
        <w:jc w:val="left"/>
        <w:tblInd w:w="0" w:type="dxa"/>
        <w:tblLayout w:type="fixed"/>
        <w:tblCellMar>
          <w:top w:w="28" w:type="dxa"/>
          <w:left w:w="28" w:type="dxa"/>
          <w:bottom w:w="28" w:type="dxa"/>
          <w:right w:w="28" w:type="dxa"/>
        </w:tblCellMar>
      </w:tblPr>
      <w:tblGrid>
        <w:gridCol w:w="1390"/>
        <w:gridCol w:w="1222"/>
        <w:gridCol w:w="1228"/>
        <w:gridCol w:w="333"/>
        <w:gridCol w:w="995"/>
        <w:gridCol w:w="172"/>
        <w:gridCol w:w="273"/>
        <w:gridCol w:w="817"/>
        <w:gridCol w:w="199"/>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Siete</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poppi</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date</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17, 2025</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19, 2025</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PFNA</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PBNA</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 asset (brand)</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2,120</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Goodwill is calculated as the excess of the aggregate fair value of the consideration transferred over the fair value of the net assets recognized. The goodwill recorded as part of the acquisitions of Siete and poppi primarily reflects our expectation of future economic benefits arising from growth opportunities, expanded consumer reach and the strengthening of our overall product offerings across our food and beverage businesses. All of the goodwill associated with our acquisitions of Siete and poppi is recorded in our PFNA and PBNA segments, respectively, and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Acquisition and Divestiture-Related Charges/Credits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Acquisition and divestiture-related charges/credits include merger and integration charges, transaction expenses, such as consulting, advisory and other professional fees, as well as fair value adjustments to contingent consideration and to the acquired inventory included in the acquisition-date balance sheets. Merger and integration charges include distribution agreement termination fees, impairment of certain acquisition-related intangibles, employee-related costs, closing costs and other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charges/credits is as follows:</w:t>
      </w:r>
    </w:p>
    <w:p>
      <w:pPr>
        <w:pStyle w:val="TextBody"/>
        <w:bidi w:val="0"/>
        <w:spacing w:before="100" w:after="120"/>
        <w:jc w:val="center"/>
        <w:rPr/>
      </w:pPr>
      <w:r>
        <w:rPr/>
      </w:r>
    </w:p>
    <w:tbl>
      <w:tblPr>
        <w:tblW w:w="9863" w:type="dxa"/>
        <w:jc w:val="center"/>
        <w:tblInd w:w="0" w:type="dxa"/>
        <w:tblLayout w:type="fixed"/>
        <w:tblCellMar>
          <w:top w:w="28" w:type="dxa"/>
          <w:left w:w="28" w:type="dxa"/>
          <w:bottom w:w="28" w:type="dxa"/>
          <w:right w:w="28" w:type="dxa"/>
        </w:tblCellMar>
      </w:tblPr>
      <w:tblGrid>
        <w:gridCol w:w="1920"/>
        <w:gridCol w:w="1682"/>
        <w:gridCol w:w="1707"/>
        <w:gridCol w:w="213"/>
        <w:gridCol w:w="532"/>
        <w:gridCol w:w="110"/>
        <w:gridCol w:w="109"/>
        <w:gridCol w:w="109"/>
        <w:gridCol w:w="109"/>
        <w:gridCol w:w="211"/>
        <w:gridCol w:w="586"/>
        <w:gridCol w:w="109"/>
        <w:gridCol w:w="109"/>
        <w:gridCol w:w="109"/>
        <w:gridCol w:w="109"/>
        <w:gridCol w:w="211"/>
        <w:gridCol w:w="541"/>
        <w:gridCol w:w="109"/>
        <w:gridCol w:w="109"/>
        <w:gridCol w:w="109"/>
        <w:gridCol w:w="109"/>
        <w:gridCol w:w="211"/>
        <w:gridCol w:w="586"/>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general and administrative expenses </w:t>
            </w:r>
            <w:r>
              <w:rPr>
                <w:rFonts w:ascii="Times New Roman;serif" w:hAnsi="Times New Roman;serif"/>
                <w:b w:val="false"/>
                <w:color w:val="000000"/>
                <w:sz w:val="13"/>
              </w:rPr>
              <w:t>(a)</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After-tax amount</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on net income attributable to PepsiCo per common share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92" w:type="dxa"/>
        <w:jc w:val="center"/>
        <w:tblInd w:w="0" w:type="dxa"/>
        <w:tblLayout w:type="fixed"/>
        <w:tblCellMar>
          <w:top w:w="28" w:type="dxa"/>
          <w:left w:w="28" w:type="dxa"/>
          <w:bottom w:w="28" w:type="dxa"/>
          <w:right w:w="28" w:type="dxa"/>
        </w:tblCellMar>
      </w:tblPr>
      <w:tblGrid>
        <w:gridCol w:w="297"/>
        <w:gridCol w:w="261"/>
        <w:gridCol w:w="267"/>
        <w:gridCol w:w="238"/>
        <w:gridCol w:w="493"/>
        <w:gridCol w:w="123"/>
        <w:gridCol w:w="109"/>
        <w:gridCol w:w="109"/>
        <w:gridCol w:w="109"/>
        <w:gridCol w:w="229"/>
        <w:gridCol w:w="507"/>
        <w:gridCol w:w="118"/>
        <w:gridCol w:w="109"/>
        <w:gridCol w:w="109"/>
        <w:gridCol w:w="109"/>
        <w:gridCol w:w="211"/>
        <w:gridCol w:w="541"/>
        <w:gridCol w:w="109"/>
        <w:gridCol w:w="109"/>
        <w:gridCol w:w="109"/>
        <w:gridCol w:w="109"/>
        <w:gridCol w:w="229"/>
        <w:gridCol w:w="507"/>
        <w:gridCol w:w="118"/>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bookmarkStart w:id="22" w:name="ia148a8ac05464e91b3efa839cfe9731b_3-0-1-"/>
            <w:bookmarkEnd w:id="22"/>
            <w:r>
              <w:rPr>
                <w:rFonts w:ascii="Times New Roman;serif" w:hAnsi="Times New Roman;serif"/>
                <w:b w:val="false"/>
                <w:color w:val="000000"/>
                <w:sz w:val="20"/>
              </w:rPr>
              <w:t xml:space="preserve">PBNA </w:t>
            </w:r>
            <w:r>
              <w:rPr>
                <w:rFonts w:ascii="Times New Roman;serif" w:hAnsi="Times New Roman;serif"/>
                <w:b w:val="false"/>
                <w:color w:val="000000"/>
                <w:sz w:val="13"/>
              </w:rPr>
              <w:t>(a)</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bookmarkStart w:id="23" w:name="i2fd3edf481cf46229ee613fd5b458b83_1253"/>
      <w:bookmarkEnd w:id="23"/>
      <w:r>
        <w:rPr>
          <w:rFonts w:ascii="Times New Roman;serif" w:hAnsi="Times New Roman;serif"/>
          <w:b w:val="false"/>
          <w:color w:val="000000"/>
          <w:sz w:val="18"/>
        </w:rPr>
        <w:t>(a)Income amounts primarily relate to the change in the fair value of contingent consideration associated with our acquisition of poppi. See Note 8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Note 12 - Supply Chain Financing Arrangements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maintain voluntary supply chain finance agreements with several participating global financial institutions. Under these agreements, our suppliers, at their sole discretion, may elect to sell their accounts receivable with PepsiCo to these participating global financial institutions. As of September 5, 2026 and December 27, 2025, $1.8 billion and $1.7 billion, respectively, of our accounts payable are to suppliers participating in these financing arrangements. For further information on the key terms of these supply chain financing programs, see Note 14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Note 13 - Legal Contingencies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 is party to a variety of litigation, claims, legal or regulatory proceedings, inquiries and investigations. While the results of such litigation, claims, legal or regulatory proceedings, inquiries and investigations cannot be predicted with certainty, management believes that the final outcome of the foregoing is not expected to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FINANCIAL REVIEW</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Our discussion and analysis is intended to help the reader understand our results of operations and financial condition and is provided as an addition to, and should be read in connection with, our condensed consolidated financial statements and the accompanying notes. Unless otherwise noted, tabular dollars are presented in millions, except per share amounts. All per share amounts reflect common stock per share amounts, assume dilution unless otherwise noted, and are based on unrounded amounts. Percentage changes are based on unrounded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Our Critical Accounting Policies and Estimates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critical accounting policies and estimates below should be read in conjunction with those outlined in our 2025 Form 10-K.</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Total Marketplace Spending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 number of our sales incentives, such as bottler funding to independent bottlers and customer volume rebates, are based on annual targets, and accruals are established during the year, as products are delivered, for the expected payout, which may occur after year end once reconciled and settled.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For interim reporting, our policy is to allocate our forecasted full-year sales incentives for most of our programs to each of our interim reporting periods in the same year that benefits from the programs. The allocation methodology is based on our forecasted sales incentives for the full year and the proportion of each interim period’s actual gross revenue or volume, as applicable, to our forecasted annual gross revenue or volume, as applicable. Based on our review of the forecasts at each interim period, any changes in estimates and the related allocation of sales incentives are recognized beginning in the interim period that they are identified. In addition, we apply a similar allocation methodology for interim reporting purposes for certain advertising and other marketing activities.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Income Taxes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determining our quarterly provision for income taxes, we use an estimated annual effective tax rate which is based on our expected annual income, statutory tax rates and tax structure and transactions, including transfer pricing arrangements, available to us in the various jurisdictions in which we operate. Significant judgment is required in determining our annual tax rate and in evaluating our tax positions. Subsequent recognition, derecognition and measurement of a tax position taken in a previous period are separately recognized in the quarter in which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Our Business Risks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 xml:space="preserve">This Form 10-Q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pPr>
      <w:r>
        <w:rPr>
          <w:rFonts w:ascii="Times New Roman;serif" w:hAnsi="Times New Roman;serif"/>
          <w:b w:val="false"/>
          <w:i/>
          <w:color w:val="000000"/>
          <w:sz w:val="24"/>
        </w:rPr>
        <w:t xml:space="preserve">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Such risks and uncertainties include, but are not limited to: future demand for PepsiCo’s products; damage to PepsiCo’s reputation or brand image; product recalls or other issues or concerns with respect to product quality and safety; PepsiCo’s ability to compete effectively; PepsiCo’s ability to attract, develop and maintain a highly skilled workforce or effectively manage changes in our workforce; water scarcity; changes in the retail landscape or in sales to any key customer; disruption of PepsiCo’s manufacturing operations or supply chain, including increased commodity, packaging, transportation, labor and other input costs; political, social or geopolitical conditions in the markets where PepsiCo’s products are made, manufactured, distributed or sold; PepsiCo’s ability to grow its business in developing and emerging markets; changes in economic conditions in the countries in which PepsiCo operates; changes in tariffs and global trade relations; future cyber incidents and other disruptions to our information systems; failure to successfully complete or manage strategic transactions; PepsiCo’s reliance on third-party service providers and enterprise-wide systems; climate change or measures to address climate change and other sustainability matters; strikes or work stoppages; failure to realize benefits from PepsiCo’s productivity initiatives or organizational restructurings; deterioration in estimates and underlying assumptions regarding future performance of our business or investments that can result in impairment charges; fluctuations or other changes in exchange rates; any downgrade or potential downgrade of PepsiCo’s credit ratings; imposition or proposed imposition of new or increased taxes aimed at PepsiCo’s products; imposition of limitations on the marketing or sale of PepsiCo’s products; changes in laws and regulations related to the use or disposal of plastics or other packaging materials; failure to comply with personal data protection and privacy laws; increase in income tax rates, changes in income tax laws or disagreements with tax authorities; failure to adequately protect PepsiCo’s intellectual property rights or infringement on intellectual property rights of others; failure to comply with applicable laws and regulations; potential liabilities and costs from litigation, claims, legal or regulatory proceedings, inquiries or investigations; and other risks and uncertainties including those described in “Item 1A. Risk Factors” and “Item 7. Management’s Discussion and Analysis of Financial Condition and Results of Operations – Our Business Risks,” included in our </w:t>
      </w:r>
      <w:r>
        <w:rPr>
          <w:rFonts w:ascii="Times New Roman;serif" w:hAnsi="Times New Roman;serif"/>
          <w:b w:val="false"/>
          <w:color w:val="000000"/>
          <w:sz w:val="24"/>
        </w:rPr>
        <w:t>2025</w:t>
      </w:r>
      <w:r>
        <w:rPr>
          <w:color w:val="000000"/>
        </w:rPr>
        <w:t xml:space="preserve"> </w:t>
      </w:r>
      <w:r>
        <w:rPr>
          <w:rFonts w:ascii="Times New Roman;serif" w:hAnsi="Times New Roman;serif"/>
          <w:b w:val="false"/>
          <w:i/>
          <w:color w:val="000000"/>
          <w:sz w:val="24"/>
        </w:rPr>
        <w:t>Form 10-K and in “Item 2. Management’s Discussion and Analysis of Financial Condition and Results of Operations – Our Business Risks” of this Form 10-Q. Investors are cautioned not to place undue reliance on any such forward-looking statements, which speak only as of the date they are made. We undertake no obligation to update any forward-looking statement, whether as a result of new information, future events or otherwise.</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Commodities and Our Supply Chain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Many of the commodities used in the production and transportation of our products are purchased in the open market. The prices we pay for such items are subject to fluctuation, and we manage this risk through the use of fixed-price contracts and purchase orders, pricing agreements and derivative instruments, including swaps and futures. A number of external factors, including volatile geopolitical conditions, the inflationary cost environment, import/export restrictions and tariffs, adverse weather conditions and supply chain disruptions, have impacted and may continue to impact commodity, transportation and labor costs. Additionally, conflict in the Middle East continues to disrupt global supply chains and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commodity prices. When prices increase, we may or may not pass on such increases to our customers, which may result in reduced volume, revenue, margins and operating results.</w:t>
      </w:r>
    </w:p>
    <w:p>
      <w:pPr>
        <w:pStyle w:val="TextBody"/>
        <w:bidi w:val="0"/>
        <w:spacing w:lineRule="auto" w:line="288" w:before="120" w:after="120"/>
        <w:jc w:val="both"/>
        <w:rPr/>
      </w:pPr>
      <w:r>
        <w:rPr>
          <w:rFonts w:ascii="Times New Roman;serif" w:hAnsi="Times New Roman;serif"/>
          <w:b w:val="false"/>
          <w:color w:val="000000"/>
          <w:sz w:val="24"/>
        </w:rPr>
        <w:t>See Note</w:t>
      </w:r>
      <w:r>
        <w:rPr>
          <w:color w:val="000000"/>
        </w:rPr>
        <w:t xml:space="preserve"> </w:t>
      </w:r>
      <w:r>
        <w:rPr>
          <w:rFonts w:ascii="Times New Roman;serif" w:hAnsi="Times New Roman;serif"/>
          <w:b w:val="false"/>
          <w:color w:val="000000"/>
          <w:sz w:val="24"/>
        </w:rPr>
        <w:t>8 to our condensed consolidated financial statements in this Form 10-Q and Note 9 to our consolidated financial statements in our 2025 Form 10-K for further information on how we manage our exposure to commodity prices.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Climate Change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jurisdictions in which our products are made, manufactured, distributed or sold have either imposed, or are considering imposing, new or increased legal and regulatory requirements to reduce or mitigate the potential effects of climate change, including regulation of greenhouse gas emissions and potential carbon pricing programs. These new or increased legal or regulatory requirements, along with initiatives to meet our sustainability goals, could result in significant increased costs and additional investments in facilities and equipment. However, we are unable to predict the scope, nature and timing of any new or increased environmental laws and regulations and therefore cannot predict the ultimate impact of such laws and regulations on our business or financial results. We continue to monitor existing and proposed laws and regulations in the jurisdictions in which our products are made, manufactured, distributed and sold and to consider actions we may take to potentially mitigate the unfavorable impact, if any, of such laws or regulations.</w:t>
      </w:r>
    </w:p>
    <w:p>
      <w:pPr>
        <w:pStyle w:val="TextBody"/>
        <w:bidi w:val="0"/>
        <w:spacing w:lineRule="auto" w:line="288" w:before="120" w:after="120"/>
        <w:jc w:val="both"/>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Risks Associated with International Operations </w:t>
      </w:r>
    </w:p>
    <w:p>
      <w:pPr>
        <w:pStyle w:val="TextBody"/>
        <w:bidi w:val="0"/>
        <w:spacing w:lineRule="auto" w:line="288" w:before="120" w:after="120"/>
        <w:jc w:val="both"/>
        <w:rPr/>
      </w:pPr>
      <w:r>
        <w:rPr>
          <w:rFonts w:ascii="Times New Roman;serif" w:hAnsi="Times New Roman;serif"/>
          <w:b w:val="false"/>
          <w:color w:val="000000"/>
          <w:sz w:val="24"/>
        </w:rPr>
        <w:t>In the 12 weeks ended September 5, 2026, our financial results outside of North America reflect the months of June, July and August. In the 36 weeks ended September 5, 2026, our financial results outside of North America reflect the months of January through August. In the 36 weeks ended September 5, 2026, our operations outside of the United States generated 45% of our consolidated net revenue, with Mexico, Russia, Canada, China, the United Kingdom, Brazil and South Africa, collectively, comprising 25% of our consolidated net revenue. As a result, we are exposed to foreign exchange risks in the international markets in whi</w:t>
      </w:r>
      <w:r>
        <w:rPr>
          <w:rFonts w:ascii="Times New Roman;serif" w:hAnsi="Times New Roman;serif"/>
          <w:b w:val="false"/>
          <w:color w:val="212529"/>
          <w:sz w:val="24"/>
        </w:rPr>
        <w:t xml:space="preserve">ch our products are made, manufactured, distributed or sold. In the </w:t>
      </w:r>
      <w:r>
        <w:rPr>
          <w:rFonts w:ascii="Times New Roman;serif" w:hAnsi="Times New Roman;serif"/>
          <w:b w:val="false"/>
          <w:color w:val="000000"/>
          <w:sz w:val="24"/>
        </w:rPr>
        <w:t>12 weeks ended</w:t>
      </w:r>
      <w:r>
        <w:rPr>
          <w:color w:val="000000"/>
        </w:rPr>
        <w:t xml:space="preserve"> </w:t>
      </w:r>
      <w:r>
        <w:rPr>
          <w:rFonts w:ascii="Times New Roman;serif" w:hAnsi="Times New Roman;serif"/>
          <w:b w:val="false"/>
          <w:color w:val="000000"/>
          <w:sz w:val="24"/>
        </w:rPr>
        <w:t xml:space="preserve">September 5, 2026, favorable foreign exchange </w:t>
      </w:r>
      <w:r>
        <w:rPr>
          <w:rFonts w:ascii="Times New Roman;serif" w:hAnsi="Times New Roman;serif"/>
          <w:b w:val="false"/>
          <w:color w:val="212529"/>
          <w:sz w:val="24"/>
        </w:rPr>
        <w:t xml:space="preserve">contributed </w:t>
      </w:r>
      <w:r>
        <w:rPr>
          <w:rFonts w:ascii="Times New Roman;serif" w:hAnsi="Times New Roman;serif"/>
          <w:b w:val="false"/>
          <w:color w:val="000000"/>
          <w:sz w:val="24"/>
        </w:rPr>
        <w:t>1 percentage point t</w:t>
      </w:r>
      <w:r>
        <w:rPr>
          <w:rFonts w:ascii="Times New Roman;serif" w:hAnsi="Times New Roman;serif"/>
          <w:b w:val="false"/>
          <w:color w:val="212529"/>
          <w:sz w:val="24"/>
        </w:rPr>
        <w:t>o</w:t>
      </w:r>
      <w:r>
        <w:rPr>
          <w:color w:val="000000"/>
        </w:rPr>
        <w:t xml:space="preserve"> </w:t>
      </w:r>
      <w:r>
        <w:rPr>
          <w:rFonts w:ascii="Times New Roman;serif" w:hAnsi="Times New Roman;serif"/>
          <w:b w:val="false"/>
          <w:color w:val="000000"/>
          <w:sz w:val="24"/>
        </w:rPr>
        <w:t>net revenue performance, primarily due to an appreciation of the Mexican peso and South African rand, partially offset by a decline in the Turkish lira. In the 36 weeks ended September 5, 2026, favorable foreign exchange contributed 2 percentage points to net revenue performance, primarily due to appreciation of the Mexican peso and Russian ruble, partially offset by a decline in the Turkish lira. Currency declines against the U.S. dollar which are not offset could adversely impact our future financial results.</w:t>
      </w:r>
    </w:p>
    <w:p>
      <w:pPr>
        <w:pStyle w:val="TextBody"/>
        <w:bidi w:val="0"/>
        <w:spacing w:lineRule="auto" w:line="288" w:before="120" w:after="120"/>
        <w:jc w:val="both"/>
        <w:rPr/>
      </w:pPr>
      <w:r>
        <w:rPr>
          <w:rFonts w:ascii="Times New Roman;serif" w:hAnsi="Times New Roman;serif"/>
          <w:b w:val="false"/>
          <w:color w:val="212529"/>
          <w:sz w:val="24"/>
        </w:rPr>
        <w:t xml:space="preserve">In addition, volatile economic, political, social and geopolitical conditions, civil unrest and wars and other military conflicts, acts of terrorism and natural disasters and other catastrophic events in certain markets in which our products are made, manufactured, distributed or sold, including in Argentina, Brazil, China, Mexico, the Middle East (including Egypt), Russia, Turkey and Ukraine, continue to result in challenging operating environments and have resulted in and could continue to result in changes in how we operate in certain of these markets. Debt and credit issues, currency controls or fluctuations, sanctions and export controls in certain of these international markets (including restrictions on the transfer of funds to and from certain markets) have also continued to impact our operations in certain of these international markets. We continue to closely monitor the economic, operating and political environment in the markets in which we operate, including risks of temporary or permanent expropriation of assets, any other limits on our ability to conduct business operations, loss of or damage to key manufacturing sites, additional impairments or write-offs and currency fluctuation, and to identify actions to potentially mitigate any </w:t>
      </w:r>
      <w:r>
        <w:rPr>
          <w:rFonts w:ascii="Times New Roman;serif" w:hAnsi="Times New Roman;serif"/>
          <w:b w:val="false"/>
          <w:color w:val="000000"/>
          <w:sz w:val="24"/>
        </w:rPr>
        <w:t>unfavorable</w:t>
      </w:r>
      <w:r>
        <w:rPr>
          <w:color w:val="212529"/>
        </w:rPr>
        <w:t xml:space="preserve"> </w:t>
      </w:r>
      <w:r>
        <w:rPr>
          <w:rFonts w:ascii="Times New Roman;serif" w:hAnsi="Times New Roman;serif"/>
          <w:b w:val="false"/>
          <w:color w:val="212529"/>
          <w:sz w:val="24"/>
        </w:rPr>
        <w:t xml:space="preserve">impacts on our future results. </w:t>
      </w:r>
      <w:bookmarkStart w:id="24" w:name="i349e01abf2114421a0f1fb4d15028b1d_21833"/>
      <w:bookmarkEnd w:id="24"/>
      <w:r>
        <w:rPr>
          <w:rFonts w:ascii="Times New Roman;serif" w:hAnsi="Times New Roman;serif"/>
          <w:b w:val="false"/>
          <w:color w:val="212529"/>
          <w:sz w:val="24"/>
        </w:rPr>
        <w:t>Our operations in Russia accounted fo</w:t>
      </w:r>
      <w:r>
        <w:rPr>
          <w:rFonts w:ascii="Times New Roman;serif" w:hAnsi="Times New Roman;serif"/>
          <w:b w:val="false"/>
          <w:color w:val="000000"/>
          <w:sz w:val="24"/>
        </w:rPr>
        <w:t>r 6%</w:t>
      </w:r>
      <w:r>
        <w:rPr>
          <w:color w:val="212529"/>
        </w:rPr>
        <w:t xml:space="preserve"> </w:t>
      </w:r>
      <w:r>
        <w:rPr>
          <w:rFonts w:ascii="Times New Roman;serif" w:hAnsi="Times New Roman;serif"/>
          <w:b w:val="false"/>
          <w:color w:val="212529"/>
          <w:sz w:val="24"/>
        </w:rPr>
        <w:t xml:space="preserve">and </w:t>
      </w:r>
      <w:r>
        <w:rPr>
          <w:rFonts w:ascii="Times New Roman;serif" w:hAnsi="Times New Roman;serif"/>
          <w:b w:val="false"/>
          <w:color w:val="000000"/>
          <w:sz w:val="24"/>
        </w:rPr>
        <w:t>5%</w:t>
      </w:r>
      <w:r>
        <w:rPr>
          <w:color w:val="212529"/>
        </w:rPr>
        <w:t xml:space="preserve"> </w:t>
      </w:r>
      <w:r>
        <w:rPr>
          <w:rFonts w:ascii="Times New Roman;serif" w:hAnsi="Times New Roman;serif"/>
          <w:b w:val="false"/>
          <w:color w:val="212529"/>
          <w:sz w:val="24"/>
        </w:rPr>
        <w:t xml:space="preserve">of our consolidated net revenue for the 12 and 36 weeks ended September 5, 2026, respectively. Russia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pPr>
      <w:r>
        <w:rPr>
          <w:rFonts w:ascii="Times New Roman;serif" w:hAnsi="Times New Roman;serif"/>
          <w:b w:val="false"/>
          <w:color w:val="212529"/>
          <w:sz w:val="24"/>
        </w:rPr>
        <w:t xml:space="preserve">accounted for </w:t>
      </w:r>
      <w:r>
        <w:rPr>
          <w:rFonts w:ascii="Times New Roman;serif" w:hAnsi="Times New Roman;serif"/>
          <w:b w:val="false"/>
          <w:color w:val="000000"/>
          <w:sz w:val="24"/>
        </w:rPr>
        <w:t>5%</w:t>
      </w:r>
      <w:r>
        <w:rPr>
          <w:color w:val="212529"/>
        </w:rPr>
        <w:t xml:space="preserve"> </w:t>
      </w:r>
      <w:r>
        <w:rPr>
          <w:rFonts w:ascii="Times New Roman;serif" w:hAnsi="Times New Roman;serif"/>
          <w:b w:val="false"/>
          <w:color w:val="212529"/>
          <w:sz w:val="24"/>
        </w:rPr>
        <w:t xml:space="preserve">of our consolidated assets, including </w:t>
      </w:r>
      <w:r>
        <w:rPr>
          <w:rFonts w:ascii="Times New Roman;serif" w:hAnsi="Times New Roman;serif"/>
          <w:b w:val="false"/>
          <w:color w:val="000000"/>
          <w:sz w:val="24"/>
        </w:rPr>
        <w:t>20%</w:t>
      </w:r>
      <w:r>
        <w:rPr>
          <w:color w:val="212529"/>
        </w:rPr>
        <w:t xml:space="preserve"> </w:t>
      </w:r>
      <w:r>
        <w:rPr>
          <w:rFonts w:ascii="Times New Roman;serif" w:hAnsi="Times New Roman;serif"/>
          <w:b w:val="false"/>
          <w:color w:val="212529"/>
          <w:sz w:val="24"/>
        </w:rPr>
        <w:t xml:space="preserve">of our consolidated cash and cash equivalents, and </w:t>
      </w:r>
      <w:r>
        <w:rPr>
          <w:rFonts w:ascii="Times New Roman;serif" w:hAnsi="Times New Roman;serif"/>
          <w:b w:val="false"/>
          <w:color w:val="000000"/>
          <w:sz w:val="24"/>
        </w:rPr>
        <w:t>42%</w:t>
      </w:r>
      <w:r>
        <w:rPr>
          <w:color w:val="212529"/>
        </w:rPr>
        <w:t xml:space="preserve"> </w:t>
      </w:r>
      <w:r>
        <w:rPr>
          <w:rFonts w:ascii="Times New Roman;serif" w:hAnsi="Times New Roman;serif"/>
          <w:b w:val="false"/>
          <w:color w:val="212529"/>
          <w:sz w:val="24"/>
        </w:rPr>
        <w:t xml:space="preserve">of our accumulated </w:t>
      </w:r>
      <w:bookmarkStart w:id="25" w:name="i349e01abf2114421a0f1fb4d15028b1d_28741"/>
      <w:bookmarkEnd w:id="25"/>
      <w:r>
        <w:rPr>
          <w:rFonts w:ascii="Times New Roman;serif" w:hAnsi="Times New Roman;serif"/>
          <w:b w:val="false"/>
          <w:color w:val="212529"/>
          <w:sz w:val="24"/>
        </w:rPr>
        <w:t>currency translation adjustment loss as of September 5, 2026.</w:t>
      </w:r>
    </w:p>
    <w:p>
      <w:pPr>
        <w:pStyle w:val="TextBody"/>
        <w:bidi w:val="0"/>
        <w:spacing w:lineRule="auto" w:line="288" w:before="120" w:after="120"/>
        <w:jc w:val="both"/>
        <w:rPr/>
      </w:pPr>
      <w:r>
        <w:rPr>
          <w:rFonts w:ascii="Times New Roman;serif" w:hAnsi="Times New Roman;serif"/>
          <w:b w:val="false"/>
          <w:color w:val="000000"/>
          <w:sz w:val="24"/>
        </w:rPr>
        <w:t>See Note</w:t>
      </w:r>
      <w:r>
        <w:rPr>
          <w:color w:val="000000"/>
        </w:rPr>
        <w:t xml:space="preserve"> </w:t>
      </w:r>
      <w:r>
        <w:rPr>
          <w:rFonts w:ascii="Times New Roman;serif" w:hAnsi="Times New Roman;serif"/>
          <w:b w:val="false"/>
          <w:color w:val="000000"/>
          <w:sz w:val="24"/>
        </w:rPr>
        <w:t xml:space="preserve">8 to our condensed consolidated financial statements in this Form 10-Q for the fair values of our financial instruments as of September 5, 2026 and December 27, 2025 and Note 9 to our consolidated financial statements in our 2025 Form 10-K for a discussion of these items. </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Risks Associated with Tariffs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imposition of tariffs (including U.S. tariffs imposed or threatened to be imposed on China, the European Union, Canada and Mexico and other countries and any tariffs imposed by such countries) have impacted and could continue to impact our supply chain resulting in increased input costs, including the cost of certain raw materials and packaging. During the 36 weeks ended September 5, 2026, the U.S. Supreme Court ruled that many of the tariffs previously imposed under the International Emergency Economic Powers Act (IEEPA) were invalid. Following this ruling, we submitted tariff recovery claims through the U.S. Customs and Border Protection seeking a refund of certain eligible IEEPA tariffs and </w:t>
      </w:r>
      <w:bookmarkStart w:id="26" w:name="i349e01abf2114421a0f1fb4d15028b1d_21835"/>
      <w:bookmarkEnd w:id="26"/>
      <w:r>
        <w:rPr>
          <w:rFonts w:ascii="Times New Roman;serif" w:hAnsi="Times New Roman;serif"/>
          <w:b w:val="false"/>
          <w:color w:val="000000"/>
          <w:sz w:val="24"/>
        </w:rPr>
        <w:t>received substantially all of the refunds of such tariffs. In addition, the U.S. Administration initiated new tariffs and may impose additional tariffs. As a result, there remains significant uncertainty regarding the duration and scope of existing and future tariffs and the impact of such tariffs will continue to vary, including based on where inputs are sourced from and shipped to. In addition, any supply chain constraints, inflationary impacts or reduced consumer demand for our products as a result of such tariffs or ongoing macroeconomic uncertainty have impacted and could continue to impact our results. We will continue to evaluate the nature and extent of the impact of these tariffs on our business, to identify actions to potentially mitigate, where possible, any unfavorable impacts on our business and to monitor the regulatory and administrative developments around the potential refund of tariffs previously paid and assess their impact on our future results.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Imposition of Taxes and Regulations on our Products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Certain jurisdictions in which our products are made, manufactured, distributed or sold have either imposed, or are considering imposing, new or increased taxes or regulations on the manufacture, distribution or sale of our products or their packaging, ingredients or substances contained in, or attributes of, our products or their packaging, commodities used in the production of our products or their packaging or the recyclability or recoverability of our packaging. These taxes and regulations vary in scope and form. For example, some taxes apply to all beverages, including non-caloric beverages, while others apply only to beverages with a caloric sweetener (e.g., sugar). Further, some regulations apply to all products using certain types of packaging (e.g., plastic), while others are designed to increase the sustainability of packaging, encourage waste reduction and increased recycling rates or facilitate the waste management process or restrict the sale of products in certain packaging. In addition, certain jurisdictions in which our snack products are sold have either imposed or are considering imposing, new or increased taxes on the manufacture, distribution or sale of certain of our snack products as a result of ingredients (such as sugar, sodium or saturated fat) contained in our products.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sell a wide variety of beverages and convenient foods in more than 200 countries and territories and the profile of the products we sell, the amount of revenue attributable to such products and the type of packaging used vary by jurisdiction. Because of this, we cannot predict the scope or form potential taxes, regulations or other limitations on our products or their packaging may take, and therefore cannot predict the impact of such taxes, regulations or limitations on our financial results. In addition, taxes, regulations and limitations may impact us and our competitors differently. We expect continued scrutiny of certain ingredients and substances present in certain of our products and packaging. We continue to monitor existing and proposed taxes and regulations in the jurisdictions in which our products are made, manufactured, distributed and sold and to consider actions we may take to potentially mitigate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unfavorable impact, if any, of such taxes, regulations or limitations, including advocating alternative measures with respect to the imposition, form and scope of any such taxes, regulations or limitations. </w:t>
      </w:r>
    </w:p>
    <w:p>
      <w:pPr>
        <w:pStyle w:val="TextBody"/>
        <w:bidi w:val="0"/>
        <w:spacing w:lineRule="auto" w:line="288" w:before="120" w:after="120"/>
        <w:jc w:val="both"/>
        <w:rPr>
          <w:rFonts w:ascii="Times New Roman;serif" w:hAnsi="Times New Roman;serif"/>
          <w:b/>
          <w:i/>
          <w:color w:val="000000"/>
          <w:sz w:val="24"/>
          <w:shd w:fill="FFFFFF" w:val="clear"/>
        </w:rPr>
      </w:pPr>
      <w:r>
        <w:rPr>
          <w:rFonts w:ascii="Times New Roman;serif" w:hAnsi="Times New Roman;serif"/>
          <w:b/>
          <w:i/>
          <w:color w:val="000000"/>
          <w:sz w:val="24"/>
          <w:shd w:fill="FFFFFF" w:val="clear"/>
        </w:rPr>
        <w:t>Organization for Economic Co-operation and Development (OECD) Model Global Minimum Tax</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2026, widespread implementation of the OECD model rules for a global minimum tax rate of 15% came into effect in various countries in which we do business, including European Union member states, resulting in an increase in our income tax provision. We will continue to monitor for additional changes to the legislation, which could further impact our income tax provision.</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Retail Landscape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industry continues to be affected by disruption of the retail landscape, including the continued growth in sales through e-commerce websites and mobile commerce applications, including through subscription services, the integration of physical and digital operations among retailers and the international expansion of hard discounters. We have seen and expect to continue to see a further shift to e-commerce, online-to-offline and other online purchasing by consumers. We continue to monitor changes in the retail landscape and seek to identify actions we may take to build our global e-commerce and digital capabilities, such as expanding our direct-to-consumer business, and distribute our products effectively through all existing and emerging channels of trade and potentially mitigate any unfavorable impacts on our future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Changing dynamics at the retail level have also impacted and may continue to impact our ability to grow in certain jurisdictions. In this changing retail landscape, retailers and buying groups are shifting traditional value propositions, removing our products or otherwise reducing shelf space allocated to our products and focusing on introducing and developing private-label brands. We have seen and expect to continue to see retailers and buying groups impact our ability to compete in these jurisdictions. We continue to monitor our relationships with retailers and buying groups and seek to identify actions we may take to maintain mutually beneficial relationships and resolve any significant disputes and potentially mitigate any unfavorable impacts on our future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Cautionary statements included above and in “Item 1A. Risk Factors” and “Item 7. Management’s Discussion and Analysis of Financial Condition and Results of Operations – Our Business Risks” in our 2025 Form 10-K should be considered when evaluating our trends and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Results of Operations – Consolidated Review</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Consolidated Results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Volume</w:t>
      </w:r>
    </w:p>
    <w:p>
      <w:pPr>
        <w:pStyle w:val="TextBody"/>
        <w:bidi w:val="0"/>
        <w:spacing w:lineRule="auto" w:line="288" w:before="120" w:after="120"/>
        <w:jc w:val="both"/>
        <w:rPr/>
      </w:pPr>
      <w:r>
        <w:rPr>
          <w:rFonts w:ascii="Times New Roman;serif" w:hAnsi="Times New Roman;serif"/>
          <w:b w:val="false"/>
          <w:color w:val="000000"/>
          <w:sz w:val="24"/>
        </w:rPr>
        <w:t>Physical or unit volume is one of the key metrics management uses internally to make operating and strategic decisions, including the preparation of our annual operating plan and the evaluation of our business performance. We believe volume provides additional information to facilitate the comparison of our historical operating performance and underlying trends and provides additional transparency on how we evaluate our business because it measures demand for our products at the consumer level. See “Item 7. Management’s Discussion and Analysis of Financial Condition and Results of Operations – Our Financial Results – Volume” included in our 2025 Form 10-K for further information on volume. Unit volume performance adjusts for the impacts of acquisitions and divestitures. Acquisitions and divestitures, when used in this report, reflect mergers and acquisitions activity, as well as divestitures and other structural changes. Further, unit volume performance excludes the impact of an additional week of results every five or six years (53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reporting week), where applicable.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report all of our international operations on a monthly calendar basis. The 12 weeks ended September 5, 2026 and September 6, 2025 include volume outside of North America for the months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June, July and August. The 36 weeks ended September 5, 2026 and September 6, 2025 include volume outside of North America for the months of January through August.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Consolidated Net Revenue and Operating Profit</w:t>
      </w:r>
    </w:p>
    <w:tbl>
      <w:tblPr>
        <w:tblW w:w="9850" w:type="dxa"/>
        <w:jc w:val="left"/>
        <w:tblInd w:w="0" w:type="dxa"/>
        <w:tblLayout w:type="fixed"/>
        <w:tblCellMar>
          <w:top w:w="28" w:type="dxa"/>
          <w:left w:w="28" w:type="dxa"/>
          <w:bottom w:w="28" w:type="dxa"/>
          <w:right w:w="28" w:type="dxa"/>
        </w:tblCellMar>
      </w:tblPr>
      <w:tblGrid>
        <w:gridCol w:w="559"/>
        <w:gridCol w:w="492"/>
        <w:gridCol w:w="493"/>
        <w:gridCol w:w="211"/>
        <w:gridCol w:w="736"/>
        <w:gridCol w:w="301"/>
        <w:gridCol w:w="109"/>
        <w:gridCol w:w="109"/>
        <w:gridCol w:w="109"/>
        <w:gridCol w:w="211"/>
        <w:gridCol w:w="721"/>
        <w:gridCol w:w="271"/>
        <w:gridCol w:w="109"/>
        <w:gridCol w:w="109"/>
        <w:gridCol w:w="109"/>
        <w:gridCol w:w="210"/>
        <w:gridCol w:w="211"/>
        <w:gridCol w:w="437"/>
        <w:gridCol w:w="109"/>
        <w:gridCol w:w="109"/>
        <w:gridCol w:w="109"/>
        <w:gridCol w:w="211"/>
        <w:gridCol w:w="736"/>
        <w:gridCol w:w="301"/>
        <w:gridCol w:w="109"/>
        <w:gridCol w:w="109"/>
        <w:gridCol w:w="109"/>
        <w:gridCol w:w="211"/>
        <w:gridCol w:w="721"/>
        <w:gridCol w:w="271"/>
        <w:gridCol w:w="109"/>
        <w:gridCol w:w="109"/>
        <w:gridCol w:w="109"/>
        <w:gridCol w:w="210"/>
        <w:gridCol w:w="211"/>
        <w:gridCol w:w="490"/>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25,274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68,898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“Results of Operations – Segment Review” for a tabular presentation and discussion of key drivers of net revenue.</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increased 19%, primarily driven by productivity savings, a favorable net impact of acquisition and divestiture-related charges/credits, effective net pricing, a </w:t>
      </w:r>
      <w:bookmarkStart w:id="27" w:name="i19709327ff9c4cef8f0777412af68fac_7554"/>
      <w:bookmarkEnd w:id="27"/>
      <w:r>
        <w:rPr>
          <w:rFonts w:ascii="Times New Roman;serif" w:hAnsi="Times New Roman;serif"/>
          <w:b w:val="false"/>
          <w:color w:val="000000"/>
          <w:sz w:val="24"/>
        </w:rPr>
        <w:t xml:space="preserve">4-percentage-point favorable impact of tariff refunds and a favorable impact of net mark-to-market gains on commodity derivatives. These impacts were partially offset by certain operating cost increases and higher advertising and marketing expenses. </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45%, primarily driven by productivity savings, prior-year impairment charges related to the Rockstar and Be &amp; Cheery brands, effective net pricing and a favorable net impact of acquisition and divestiture-related charges/credits,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Other Consolidated Results</w:t>
      </w:r>
    </w:p>
    <w:tbl>
      <w:tblPr>
        <w:tblW w:w="10205" w:type="dxa"/>
        <w:jc w:val="left"/>
        <w:tblInd w:w="0" w:type="dxa"/>
        <w:tblLayout w:type="fixed"/>
        <w:tblCellMar>
          <w:top w:w="28" w:type="dxa"/>
          <w:left w:w="28" w:type="dxa"/>
          <w:bottom w:w="28" w:type="dxa"/>
          <w:right w:w="28" w:type="dxa"/>
        </w:tblCellMar>
      </w:tblPr>
      <w:tblGrid>
        <w:gridCol w:w="847"/>
        <w:gridCol w:w="594"/>
        <w:gridCol w:w="596"/>
        <w:gridCol w:w="211"/>
        <w:gridCol w:w="631"/>
        <w:gridCol w:w="301"/>
        <w:gridCol w:w="109"/>
        <w:gridCol w:w="109"/>
        <w:gridCol w:w="109"/>
        <w:gridCol w:w="211"/>
        <w:gridCol w:w="616"/>
        <w:gridCol w:w="271"/>
        <w:gridCol w:w="109"/>
        <w:gridCol w:w="109"/>
        <w:gridCol w:w="109"/>
        <w:gridCol w:w="211"/>
        <w:gridCol w:w="481"/>
        <w:gridCol w:w="301"/>
        <w:gridCol w:w="109"/>
        <w:gridCol w:w="109"/>
        <w:gridCol w:w="109"/>
        <w:gridCol w:w="211"/>
        <w:gridCol w:w="631"/>
        <w:gridCol w:w="301"/>
        <w:gridCol w:w="109"/>
        <w:gridCol w:w="109"/>
        <w:gridCol w:w="109"/>
        <w:gridCol w:w="211"/>
        <w:gridCol w:w="616"/>
        <w:gridCol w:w="271"/>
        <w:gridCol w:w="109"/>
        <w:gridCol w:w="109"/>
        <w:gridCol w:w="109"/>
        <w:gridCol w:w="211"/>
        <w:gridCol w:w="389"/>
        <w:gridCol w:w="301"/>
        <w:gridCol w:w="157"/>
      </w:tblGrid>
      <w:tr>
        <w:trPr/>
        <w:tc>
          <w:tcPr>
            <w:tcW w:w="8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expense/(income)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bookmarkStart w:id="28" w:name="icc84edfd9be94c348db7f07b9fc156ac_2-5-1-"/>
            <w:bookmarkEnd w:id="28"/>
            <w:r>
              <w:rPr>
                <w:rFonts w:ascii="Times New Roman;serif" w:hAnsi="Times New Roman;serif"/>
                <w:b/>
                <w:color w:val="000000"/>
                <w:sz w:val="20"/>
              </w:rPr>
              <w:t>140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bookmarkStart w:id="29" w:name="icc84edfd9be94c348db7f07b9fc156ac_2-11-1"/>
            <w:bookmarkEnd w:id="29"/>
            <w:r>
              <w:rPr>
                <w:rFonts w:ascii="Times New Roman;serif" w:hAnsi="Times New Roman;serif"/>
                <w:b/>
                <w:color w:val="000000"/>
                <w:sz w:val="20"/>
              </w:rPr>
              <w:t>88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rate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PepsiCo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PepsiCo per common share – 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bookmarkStart w:id="30" w:name="i8cafca735dd64e8d91b60732f0536e96_6275"/>
      <w:bookmarkEnd w:id="30"/>
      <w:r>
        <w:rPr>
          <w:rFonts w:ascii="Times New Roman;serif" w:hAnsi="Times New Roman;serif"/>
          <w:b w:val="false"/>
          <w:color w:val="000000"/>
          <w:sz w:val="24"/>
        </w:rPr>
        <w:t>Other pension and retiree medical benefits expense increased $140 million, primarily due to a settlement charge as a result of lump sum distributions exceeding the total of annual service and interest cost.</w:t>
      </w:r>
    </w:p>
    <w:p>
      <w:pPr>
        <w:pStyle w:val="TextBody"/>
        <w:bidi w:val="0"/>
        <w:spacing w:lineRule="auto" w:line="288" w:before="0" w:after="120"/>
        <w:jc w:val="both"/>
        <w:rPr/>
      </w:pPr>
      <w:r>
        <w:rPr>
          <w:rFonts w:ascii="Times New Roman;serif" w:hAnsi="Times New Roman;serif"/>
          <w:b w:val="false"/>
          <w:color w:val="000000"/>
          <w:sz w:val="24"/>
        </w:rPr>
        <w:t>Net interest expense and other decreased</w:t>
      </w:r>
      <w:r>
        <w:rPr>
          <w:color w:val="000000"/>
          <w:shd w:fill="FFFFFF" w:val="clear"/>
        </w:rPr>
        <w:t xml:space="preserve"> </w:t>
      </w:r>
      <w:r>
        <w:rPr>
          <w:rFonts w:ascii="Times New Roman;serif" w:hAnsi="Times New Roman;serif"/>
          <w:b w:val="false"/>
          <w:color w:val="000000"/>
          <w:sz w:val="24"/>
        </w:rPr>
        <w:t>$22 million, due to higher average cash balances and lower interest rates on average debt balances, partially offset by lower interest rates on average cash balances, lower gains on the market value of investments used to economically hedge a portion of our deferred compensation liability and higher average debt balances.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reported tax rate was even with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bookmarkStart w:id="31" w:name="i8cafca735dd64e8d91b60732f0536e96_6502"/>
      <w:bookmarkEnd w:id="31"/>
      <w:r>
        <w:rPr>
          <w:rFonts w:ascii="Times New Roman;serif" w:hAnsi="Times New Roman;serif"/>
          <w:b w:val="false"/>
          <w:color w:val="000000"/>
          <w:sz w:val="24"/>
        </w:rPr>
        <w:t>Other pension and retiree medical benefits income decreased $88 million, primarily reflecting the settlement charge, partially offset by the impact of changes in the discount rates and higher expected return on plan assets.</w:t>
      </w:r>
    </w:p>
    <w:p>
      <w:pPr>
        <w:pStyle w:val="TextBody"/>
        <w:bidi w:val="0"/>
        <w:spacing w:lineRule="auto" w:line="288" w:before="0" w:after="120"/>
        <w:jc w:val="both"/>
        <w:rPr/>
      </w:pPr>
      <w:r>
        <w:rPr>
          <w:rFonts w:ascii="Times New Roman;serif" w:hAnsi="Times New Roman;serif"/>
          <w:b w:val="false"/>
          <w:color w:val="000000"/>
          <w:sz w:val="24"/>
        </w:rPr>
        <w:t>Net interest expense and other decreased</w:t>
      </w:r>
      <w:r>
        <w:rPr>
          <w:color w:val="000000"/>
          <w:shd w:fill="FFFFFF" w:val="clear"/>
        </w:rPr>
        <w:t xml:space="preserve"> </w:t>
      </w:r>
      <w:r>
        <w:rPr>
          <w:rFonts w:ascii="Times New Roman;serif" w:hAnsi="Times New Roman;serif"/>
          <w:b w:val="false"/>
          <w:color w:val="000000"/>
          <w:sz w:val="24"/>
        </w:rPr>
        <w:t>$15 million, due to higher average cash balances, lower interest rates on average debt balances and higher gains on the market value of investments used to economically hedge a portion of our deferred compensation liability, partially offset by higher average debt balances and lower interest rates on average cash balances.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reported tax rate increased 0.8 percentage points, primarily reflecting the prior-year release of federal interest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Results of Operations – Segment Review</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While our financial results in North America are reported on a 12-week basis, all of our international operations are reported on a monthly calendar basis for which the months of June, July and August are reflected in our results for the 12 weeks ended September 5, 2026 and September 6, 2025 and the months January through August are reflected in our results for the 36 weeks ended September 5, 2026 and September 6, 2025.</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the discussions of net revenue and operating profit below, “effective net pricing” reflects the year-over-year impact of discrete pricing actions, sales incentive activities and mix resulting from selling varying products in different package sizes and in different countries.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See “Our Business Risks,” “Non-GAAP Measures” and “Items Affecting Comparability” for a discussion of items to consider when evaluating our results and related information regarding measures not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Net Revenue and Organic Revenue Performance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Organic revenue performance is a non-GAAP financial measure. For a description of and further information regarding this measure, see “Non-GAAP Measures.”</w:t>
      </w:r>
    </w:p>
    <w:tbl>
      <w:tblPr>
        <w:tblW w:w="10205" w:type="dxa"/>
        <w:jc w:val="left"/>
        <w:tblInd w:w="0" w:type="dxa"/>
        <w:tblLayout w:type="fixed"/>
        <w:tblCellMar>
          <w:top w:w="28" w:type="dxa"/>
          <w:left w:w="28" w:type="dxa"/>
          <w:bottom w:w="28" w:type="dxa"/>
          <w:right w:w="28" w:type="dxa"/>
        </w:tblCellMar>
      </w:tblPr>
      <w:tblGrid>
        <w:gridCol w:w="371"/>
        <w:gridCol w:w="326"/>
        <w:gridCol w:w="334"/>
        <w:gridCol w:w="268"/>
        <w:gridCol w:w="268"/>
        <w:gridCol w:w="745"/>
        <w:gridCol w:w="109"/>
        <w:gridCol w:w="109"/>
        <w:gridCol w:w="109"/>
        <w:gridCol w:w="439"/>
        <w:gridCol w:w="439"/>
        <w:gridCol w:w="441"/>
        <w:gridCol w:w="109"/>
        <w:gridCol w:w="109"/>
        <w:gridCol w:w="109"/>
        <w:gridCol w:w="463"/>
        <w:gridCol w:w="463"/>
        <w:gridCol w:w="465"/>
        <w:gridCol w:w="109"/>
        <w:gridCol w:w="109"/>
        <w:gridCol w:w="109"/>
        <w:gridCol w:w="289"/>
        <w:gridCol w:w="289"/>
        <w:gridCol w:w="802"/>
        <w:gridCol w:w="109"/>
        <w:gridCol w:w="109"/>
        <w:gridCol w:w="109"/>
        <w:gridCol w:w="360"/>
        <w:gridCol w:w="360"/>
        <w:gridCol w:w="361"/>
        <w:gridCol w:w="109"/>
        <w:gridCol w:w="109"/>
        <w:gridCol w:w="109"/>
        <w:gridCol w:w="315"/>
        <w:gridCol w:w="315"/>
        <w:gridCol w:w="457"/>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 9/5/2026</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Reported </w:t>
              <w:br/>
              <w:t>% Change, 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Organic </w:t>
            </w:r>
          </w:p>
          <w:p>
            <w:pPr>
              <w:pStyle w:val="TableContents"/>
              <w:bidi w:val="0"/>
              <w:spacing w:lineRule="auto" w:line="240" w:before="0" w:after="0"/>
              <w:jc w:val="center"/>
              <w:rPr/>
            </w:pPr>
            <w:r>
              <w:rPr>
                <w:rFonts w:ascii="Times New Roman;serif" w:hAnsi="Times New Roman;serif"/>
                <w:b/>
                <w:color w:val="000000"/>
                <w:sz w:val="20"/>
              </w:rPr>
              <w:t>% Change, non-GAAP measure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Organic volume change</w:t>
            </w:r>
            <w:r>
              <w:rPr>
                <w:rFonts w:ascii="Times New Roman;serif" w:hAnsi="Times New Roman;serif"/>
                <w:b/>
                <w:color w:val="000000"/>
                <w:sz w:val="13"/>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net pricing</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PBNA</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5"/>
        <w:gridCol w:w="323"/>
        <w:gridCol w:w="255"/>
        <w:gridCol w:w="255"/>
        <w:gridCol w:w="708"/>
        <w:gridCol w:w="109"/>
        <w:gridCol w:w="109"/>
        <w:gridCol w:w="109"/>
        <w:gridCol w:w="415"/>
        <w:gridCol w:w="415"/>
        <w:gridCol w:w="416"/>
        <w:gridCol w:w="109"/>
        <w:gridCol w:w="109"/>
        <w:gridCol w:w="109"/>
        <w:gridCol w:w="442"/>
        <w:gridCol w:w="442"/>
        <w:gridCol w:w="443"/>
        <w:gridCol w:w="109"/>
        <w:gridCol w:w="109"/>
        <w:gridCol w:w="109"/>
        <w:gridCol w:w="270"/>
        <w:gridCol w:w="270"/>
        <w:gridCol w:w="751"/>
        <w:gridCol w:w="109"/>
        <w:gridCol w:w="109"/>
        <w:gridCol w:w="109"/>
        <w:gridCol w:w="109"/>
        <w:gridCol w:w="109"/>
        <w:gridCol w:w="109"/>
        <w:gridCol w:w="109"/>
        <w:gridCol w:w="337"/>
        <w:gridCol w:w="337"/>
        <w:gridCol w:w="338"/>
        <w:gridCol w:w="109"/>
        <w:gridCol w:w="109"/>
        <w:gridCol w:w="109"/>
        <w:gridCol w:w="302"/>
        <w:gridCol w:w="302"/>
        <w:gridCol w:w="43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 9/5/2026</w:t>
            </w:r>
          </w:p>
        </w:tc>
        <w:tc>
          <w:tcPr>
            <w:tcW w:w="2491" w:type="dxa"/>
            <w:gridSpan w:val="10"/>
            <w:tcBorders/>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Reported </w:t>
              <w:br/>
              <w:t>% Change, 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Organic </w:t>
            </w:r>
          </w:p>
          <w:p>
            <w:pPr>
              <w:pStyle w:val="TableContents"/>
              <w:bidi w:val="0"/>
              <w:spacing w:lineRule="auto" w:line="240" w:before="0" w:after="0"/>
              <w:jc w:val="center"/>
              <w:rPr/>
            </w:pPr>
            <w:r>
              <w:rPr>
                <w:rFonts w:ascii="Times New Roman;serif" w:hAnsi="Times New Roman;serif"/>
                <w:b/>
                <w:color w:val="000000"/>
                <w:sz w:val="20"/>
              </w:rPr>
              <w:t>% Change, non-GAAP measure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Organic volume change</w:t>
            </w:r>
            <w:r>
              <w:rPr>
                <w:rFonts w:ascii="Times New Roman;serif" w:hAnsi="Times New Roman;serif"/>
                <w:b/>
                <w:color w:val="000000"/>
                <w:sz w:val="13"/>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net pricing</w:t>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PFNA</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PBNA </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 Franchise</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LatAm Foods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 Foods</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(a)Amounts may not sum due to rounding.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(b)Excludes the impact of acquisitions and divestitures. In certain instances, the impact of organic volume change on net revenue performance differs from the unit volume change disclosed in the following segment discussions due to the impacts of product mix, nonconsolidated joint venture volume, and, for our franchise beverage businesses, temporary timing differences between bottler case sales and concentrate shipments and equivalents (CSE). We report net revenue from our franchise beverage businesses based on CSE. The volume sold by our nonconsolidated joint ventures has no direct impact on our net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Operating Profit, Operating Profit Adjusted for Items Affecting Comparability and Operating Profit Performance Adjusted for Items Affecting Comparability on a Constant Currency Basis</w:t>
      </w:r>
    </w:p>
    <w:p>
      <w:pPr>
        <w:pStyle w:val="TextBody"/>
        <w:bidi w:val="0"/>
        <w:spacing w:lineRule="auto" w:line="288" w:before="18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adjusted for items affecting comparability and operating profit performance adjusted for items affecting comparability on a constant currency basis are both non-GAAP financial measures. For a description of and further information regarding these measures, see “Non-GAAP Measures” and “Items Affecting Comparability.”</w:t>
      </w:r>
    </w:p>
    <w:tbl>
      <w:tblPr>
        <w:tblW w:w="10218" w:type="dxa"/>
        <w:jc w:val="left"/>
        <w:tblInd w:w="0" w:type="dxa"/>
        <w:tblLayout w:type="fixed"/>
        <w:tblCellMar>
          <w:top w:w="28" w:type="dxa"/>
          <w:left w:w="28" w:type="dxa"/>
          <w:bottom w:w="28" w:type="dxa"/>
          <w:right w:w="28" w:type="dxa"/>
        </w:tblCellMar>
      </w:tblPr>
      <w:tblGrid>
        <w:gridCol w:w="858"/>
        <w:gridCol w:w="253"/>
        <w:gridCol w:w="255"/>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50"/>
        <w:gridCol w:w="556"/>
        <w:gridCol w:w="140"/>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Weeks Ended 9/5/2026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bookmarkStart w:id="32" w:name="i51c2884a59194040b2bd45f8e5875fc4_6-0-1-"/>
            <w:bookmarkEnd w:id="32"/>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1"/>
        <w:gridCol w:w="1003"/>
        <w:gridCol w:w="1011"/>
        <w:gridCol w:w="188"/>
        <w:gridCol w:w="188"/>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188"/>
        <w:gridCol w:w="188"/>
        <w:gridCol w:w="241"/>
        <w:gridCol w:w="109"/>
        <w:gridCol w:w="109"/>
        <w:gridCol w:w="109"/>
        <w:gridCol w:w="187"/>
        <w:gridCol w:w="189"/>
        <w:gridCol w:w="291"/>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Operating Profit % Change, non-GAAP measure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Operating Profit % Change, non-GAAP measure</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877"/>
        <w:gridCol w:w="292"/>
        <w:gridCol w:w="294"/>
        <w:gridCol w:w="196"/>
        <w:gridCol w:w="556"/>
        <w:gridCol w:w="109"/>
        <w:gridCol w:w="109"/>
        <w:gridCol w:w="109"/>
        <w:gridCol w:w="109"/>
        <w:gridCol w:w="196"/>
        <w:gridCol w:w="421"/>
        <w:gridCol w:w="109"/>
        <w:gridCol w:w="109"/>
        <w:gridCol w:w="109"/>
        <w:gridCol w:w="109"/>
        <w:gridCol w:w="208"/>
        <w:gridCol w:w="449"/>
        <w:gridCol w:w="117"/>
        <w:gridCol w:w="109"/>
        <w:gridCol w:w="109"/>
        <w:gridCol w:w="109"/>
        <w:gridCol w:w="196"/>
        <w:gridCol w:w="421"/>
        <w:gridCol w:w="109"/>
        <w:gridCol w:w="109"/>
        <w:gridCol w:w="109"/>
        <w:gridCol w:w="109"/>
        <w:gridCol w:w="199"/>
        <w:gridCol w:w="429"/>
        <w:gridCol w:w="111"/>
        <w:gridCol w:w="109"/>
        <w:gridCol w:w="109"/>
        <w:gridCol w:w="109"/>
        <w:gridCol w:w="203"/>
        <w:gridCol w:w="437"/>
        <w:gridCol w:w="113"/>
        <w:gridCol w:w="109"/>
        <w:gridCol w:w="109"/>
        <w:gridCol w:w="109"/>
        <w:gridCol w:w="254"/>
        <w:gridCol w:w="566"/>
        <w:gridCol w:w="142"/>
        <w:gridCol w:w="109"/>
        <w:gridCol w:w="109"/>
        <w:gridCol w:w="109"/>
        <w:gridCol w:w="196"/>
        <w:gridCol w:w="556"/>
        <w:gridCol w:w="160"/>
      </w:tblGrid>
      <w:tr>
        <w:trPr/>
        <w:tc>
          <w:tcPr>
            <w:tcW w:w="8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Weeks Ended 9/6/2025</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28" w:type="dxa"/>
        <w:jc w:val="left"/>
        <w:tblInd w:w="0" w:type="dxa"/>
        <w:tblLayout w:type="fixed"/>
        <w:tblCellMar>
          <w:top w:w="28" w:type="dxa"/>
          <w:left w:w="28" w:type="dxa"/>
          <w:bottom w:w="28" w:type="dxa"/>
          <w:right w:w="28" w:type="dxa"/>
        </w:tblCellMar>
      </w:tblPr>
      <w:tblGrid>
        <w:gridCol w:w="858"/>
        <w:gridCol w:w="253"/>
        <w:gridCol w:w="25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11"/>
        <w:gridCol w:w="616"/>
        <w:gridCol w:w="119"/>
        <w:gridCol w:w="109"/>
        <w:gridCol w:w="109"/>
        <w:gridCol w:w="109"/>
        <w:gridCol w:w="196"/>
        <w:gridCol w:w="64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 Weeks Ended 9/5/2026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bookmarkStart w:id="33" w:name="ia671c6effd104466a419d7e4c786aeea_6-3-1-"/>
            <w:bookmarkEnd w:id="33"/>
            <w:r>
              <w:rPr>
                <w:rFonts w:ascii="Times New Roman;serif" w:hAnsi="Times New Roman;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7"/>
        <w:gridCol w:w="1017"/>
        <w:gridCol w:w="1025"/>
        <w:gridCol w:w="144"/>
        <w:gridCol w:w="144"/>
        <w:gridCol w:w="241"/>
        <w:gridCol w:w="109"/>
        <w:gridCol w:w="109"/>
        <w:gridCol w:w="109"/>
        <w:gridCol w:w="210"/>
        <w:gridCol w:w="211"/>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165"/>
        <w:gridCol w:w="166"/>
        <w:gridCol w:w="241"/>
        <w:gridCol w:w="109"/>
        <w:gridCol w:w="109"/>
        <w:gridCol w:w="109"/>
        <w:gridCol w:w="189"/>
        <w:gridCol w:w="189"/>
        <w:gridCol w:w="241"/>
        <w:gridCol w:w="109"/>
        <w:gridCol w:w="109"/>
        <w:gridCol w:w="109"/>
        <w:gridCol w:w="165"/>
        <w:gridCol w:w="166"/>
        <w:gridCol w:w="288"/>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Operating Profit % Change, non-GAAP measure</w:t>
            </w:r>
          </w:p>
        </w:tc>
        <w:tc>
          <w:tcPr>
            <w:tcW w:w="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Constant Currency Operating Profit % Change, non-GAAP measure</w:t>
            </w:r>
          </w:p>
        </w:tc>
        <w:tc>
          <w:tcPr>
            <w:tcW w:w="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583" w:type="dxa"/>
        <w:jc w:val="left"/>
        <w:tblInd w:w="0" w:type="dxa"/>
        <w:tblLayout w:type="fixed"/>
        <w:tblCellMar>
          <w:top w:w="28" w:type="dxa"/>
          <w:left w:w="28" w:type="dxa"/>
          <w:bottom w:w="28" w:type="dxa"/>
          <w:right w:w="28" w:type="dxa"/>
        </w:tblCellMar>
      </w:tblPr>
      <w:tblGrid>
        <w:gridCol w:w="858"/>
        <w:gridCol w:w="253"/>
        <w:gridCol w:w="25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96"/>
        <w:gridCol w:w="109"/>
        <w:gridCol w:w="109"/>
        <w:gridCol w:w="109"/>
        <w:gridCol w:w="109"/>
        <w:gridCol w:w="196"/>
        <w:gridCol w:w="64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 Weeks Ended 9/6/2025</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Items Affecting Comparability </w:t>
            </w:r>
            <w:r>
              <w:rPr>
                <w:rFonts w:ascii="Times New Roman;serif" w:hAnsi="Times New Roman;serif"/>
                <w:b w:val="false"/>
                <w:color w:val="000000"/>
                <w:sz w:val="10"/>
              </w:rPr>
              <w: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Indirect and income tax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non-GAAP measure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“Items Affecting Comparability”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PFNA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revenue decreased slightly, primarily driven by unfavorable net pricing, partially offset by an increase in organic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slightly, driven by a 1% increase in savory snacks volume, partially offset by a 4% decrease in other foods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decreased 13%, primarily reflecting certain operating cost increases, a 4-percentage-point impact of gains associated with sales of certain assets in the prior year, the unfavorable net pricing and a 4-percentage-point impact of higher commodity costs. These impacts were partially offset by productivity savings.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revenue decreased slightly, primarily driven by unfavorable net pricing, partially offset by an increase in organic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1%, driven primarily by a 1% increase in savory snacks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decreased 8%, primarily reflecting certain operating cost increases, the unfavorable net pricing and a 4-percentage-point impact of gains associated with sales of certain assets in the prior year. These impacts were partially offset by productivity savings.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PBNA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revenue increased 5%, primarily driven by a favorable net impact of acquisitions and divestitures and effective net pricing, partially offset by an organic volume decline.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Unit volume declined 2%, primarily driven by a 3% decline in noncarbonated beverage (NCB) volume and a 2% decline in carbonated soft drink (CSD) volume.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increased 45%, primarily driven by </w:t>
      </w:r>
      <w:bookmarkStart w:id="34" w:name="i24cc9eeda6b04a069566a049ec2303c0_15701"/>
      <w:bookmarkEnd w:id="34"/>
      <w:r>
        <w:rPr>
          <w:rFonts w:ascii="Times New Roman;serif" w:hAnsi="Times New Roman;serif"/>
          <w:b w:val="false"/>
          <w:color w:val="000000"/>
          <w:sz w:val="24"/>
        </w:rPr>
        <w:t>a favorable net impact of acquisition and divestiture-related charges/credits related to our poppi acquisition, a 23-percentage-point favorable net impact of global tariffs (which includes tariff refunds) and higher commodity costs, and productivity savings. These impacts were partially offset by certain operating cost increases, the decline in organic volume, higher advertising and marketing expenses and higher restructuring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7%, primarily driven by a favorable net impact of acquisitions and divestitures and effective net pricing, partially offset by an organic volume decline.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declined 3%, primarily driven by a 3% decline in NCB volume and a 2.5% decline in CSD volume.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increased 416%, primarily reflecting a prior-year impairment charge related to the Rockstar brand, </w:t>
      </w:r>
      <w:bookmarkStart w:id="35" w:name="i24cc9eeda6b04a069566a049ec2303c0_15229"/>
      <w:bookmarkEnd w:id="35"/>
      <w:r>
        <w:rPr>
          <w:rFonts w:ascii="Times New Roman;serif" w:hAnsi="Times New Roman;serif"/>
          <w:b w:val="false"/>
          <w:color w:val="000000"/>
          <w:sz w:val="24"/>
        </w:rPr>
        <w:t>a favorable net impact of acquisition and divestiture-related charges/credits related to our poppi acquisition, lower restructuring charges, productivity savings, a 6-percentage-point favorable net impact of global tariffs (which includes tariff refunds) and higher commodity costs, and the effective net pricing. These impacts were partially offset by certain operating cost increases, the decline in organic volume and higher advertising and marketing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IB Franchise</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8%, primarily reflecting organic volume growth and effective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5%, primarily reflecting broad-based increases, led by India, partially offset by declines in China and Mexico.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29%, primarily reflecting a prior-year impairment charge related to the Rockstar brand, the net revenue growth, productivity savings and a 4-percentage-point impact of lower commodity costs. These impacts were partially offset by certain operating cost increases and higher advertising and marketing costs.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10%, primarily reflecting organic volume growth and effective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4%, primarily reflecting broad-based increases, led by India, partially offset by a decline in Mexico.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22%, primarily reflecting the net revenue growth, a prior-year impairment charge related to the Rockstar brand and productivity savings.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EMEA</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8%, primarily reflecting effective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Convenient foods unit volume declined 1%, primarily reflecting a decline in South Africa, partially offset by growth in the Middle East and Russia.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Beverage unit volume grew 4%, primarily reflecting growth in the Middle East, Turkey and Russia.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25%, primarily reflecting the effective net pricing, productivity savings and lower restructuring charges. These impacts were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11%, reflecting effective net pricing, part of which is from subsidiaries operating in highly inflationary economies, a 3-percentage-point impact of favorable foreign exchange translation and organic volume growth.</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Convenient foods unit volume grew 3%, primarily reflecting growth in the Middle East and Russia.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Beverage unit volume grew 2%, primarily reflecting growth in the Middle East.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47%, primarily reflecting the net revenue growth, productivity savings and a prior-year impairment charge related to the Rockstar brand.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LatAm Foods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14%, reflecting an 8-percentage-point impact of favorable foreign exchange translation, effective net pricing and organic volume growth.</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3%, primarily reflecting broad-based increases, led by Mexico and Brazil.</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increased 47%, primarily reflecting an indirect tax audit settlement in the prior year, productivity savings, the net revenue growth, a 9-percentage-point impact of favorable foreign exchange translation and </w:t>
      </w:r>
      <w:bookmarkStart w:id="36" w:name="i084b00b3ccb648c9bc4358b9ec01e3f1_7481"/>
      <w:bookmarkEnd w:id="36"/>
      <w:r>
        <w:rPr>
          <w:rFonts w:ascii="Times New Roman;serif" w:hAnsi="Times New Roman;serif"/>
          <w:b w:val="false"/>
          <w:color w:val="000000"/>
          <w:sz w:val="24"/>
        </w:rPr>
        <w:t>a 6-percentage-point impact of certain indirect tax credits in Brazil. These impacts were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15%, primarily reflecting an 11-percentage-point impact of favorable foreign exchange translation, driven primarily by the strengthening of the Mexican peso, and effective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slightly, primarily reflecting broad-based increases, led by Colombia, partially offset by a decline in Mexico.</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28%, primarily reflecting productivity savings, the net revenue growth, a 12-percentage-point impact of favorable foreign exchange translation, primarily driven by the strengthening of the Mexican peso, and an indirect tax audit settlement in the prior year.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Asia Pacific Foods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12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10%, reflecting organic volume growth and a 1-percentage-point impact of favorable foreign exchange translation, partially offset by unfavorable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11%, primarily reflecting broad-based increases, led by India.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15%, primarily reflecting productivity savings and the organic volume growth. These impacts were partially offset by certain operating cost increases.</w:t>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36 Weeks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Net revenue increased 11%, reflecting organic volume growth and a 3-percentage-point impact of favorable foreign exchange translation, partially offset by unfavorable net pricing.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Unit volume grew 10%, primarily reflecting growth in India and China.</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Operating profit increased 62%, primarily reflecting a prior-year impairment charge related to the Be &amp; Cheery brand, productivity savings, the organic volume growth and a 6-percentage-point impact of lower commodity costs. These impacts were partially offset by certain operating cost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4"/>
        </w:rPr>
      </w:pPr>
      <w:r>
        <w:rPr>
          <w:rFonts w:ascii="Times New Roman;serif" w:hAnsi="Times New Roman;serif"/>
          <w:b/>
          <w:i/>
          <w:color w:val="000000"/>
          <w:sz w:val="24"/>
        </w:rPr>
        <w:t>Non-GAAP Measures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Certain financial measures contained in this Form 10-Q adjust for the impact of specified items and are not in accordance with GAAP. We use non-GAAP financial measures internally to make operating and strategic decisions, including the preparation of our annual operating plan, evaluation of our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business performance and as a factor in determining compensation for certain employees. We believe presenting non-GAAP financial measures in this Form 10-Q provides additional information to facilitate comparison of our historical operating results and trends in our underlying operating results and provides additional transparency on how we evaluate our business. We also believe presenting these measures in this Form 10-Q allows investors to view our performance using the same measures that we use in evaluating our financial and business performance and trends.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charges and credits associated with acquisitions and divestitures; gains associated with divestitures; asset impairment charges (non-cash); product recall-related impact;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and debt redemptions, cash tender or exchange offers. See below and “Items Affecting Comparability” for a description of adjustments to our GAAP financial measures in this Form 10-Q.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non-GAAP financial measures contained in this Form 10-Q are discussed below:</w:t>
      </w:r>
    </w:p>
    <w:p>
      <w:pPr>
        <w:pStyle w:val="TextBody"/>
        <w:bidi w:val="0"/>
        <w:spacing w:lineRule="auto" w:line="288" w:before="180" w:after="120"/>
        <w:jc w:val="both"/>
        <w:rPr>
          <w:rFonts w:ascii="Times New Roman;serif" w:hAnsi="Times New Roman;serif"/>
          <w:b w:val="false"/>
          <w:i/>
          <w:color w:val="000000"/>
          <w:sz w:val="24"/>
        </w:rPr>
      </w:pPr>
      <w:r>
        <w:rPr>
          <w:rFonts w:ascii="Times New Roman;serif" w:hAnsi="Times New Roman;serif"/>
          <w:b w:val="false"/>
          <w:i/>
          <w:color w:val="000000"/>
          <w:sz w:val="24"/>
        </w:rPr>
        <w:t>Organic revenue performance</w:t>
      </w:r>
    </w:p>
    <w:p>
      <w:pPr>
        <w:pStyle w:val="TextBody"/>
        <w:bidi w:val="0"/>
        <w:spacing w:lineRule="auto" w:line="288" w:before="120" w:after="120"/>
        <w:jc w:val="both"/>
        <w:rPr/>
      </w:pPr>
      <w:r>
        <w:rPr>
          <w:rFonts w:ascii="Times New Roman;serif" w:hAnsi="Times New Roman;serif"/>
          <w:b w:val="false"/>
          <w:color w:val="000000"/>
          <w:sz w:val="24"/>
        </w:rPr>
        <w:t>We define organic revenue performance as a measure that adjusts for the impacts of foreign exchange translation (on a constant currency basis, as defined below), acquisitions and divestitures, and every five or six years, the impact of the 53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 xml:space="preserve">reporting week. We also apply the constant currency calculation for our subsidiaries operating in highly inflationary economies. Adjusting for acquisitions and divestitures reflects mergers and acquisitions activity, as well as divestitures and other structural changes, including changes in ownership or control in consolidated subsidiaries and nonconsolidated equity investees. We believe organic revenue performance provides useful information in evaluating the results of our business because it adjusts for items that we believe are not indicative of ongoing performance or that we believe impact comparability with the prior year.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“Net Revenue and Organic Revenue Performance” in “Results of Operations – Segment Review” for further information.</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Cost of sales, gross profit, selling, general and administrative expenses, impairment of intangible assets, other pension and retiree medical benefits expense/income, provision for income taxes and net income attributable to PepsiCo, each adjusted for items affecting comparability, operating profit and net income attributable to PepsiCo per common share – diluted, each adjusted for items affecting comparability and the corresponding constant currency growth rates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These measures exclude the net impact of mark-to-market gains and losses on centrally managed commodity derivatives that do not qualify for hedge accounting, restructuring and impairment charges related to our 2019 Productivity Plan, charges and credits associated with our acquisitions and divestitures, impairment and other charges, indirect and income tax impact and the impact of settlement and curtailment gains and losses related to pension and retiree medical plans (see “Items Affecting Comparability” for a detailed description of each of these items). We also evaluate performance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operating profit and net income attributable to PepsiCo per common share – diluted, each adjusted for items affecting comparability on a constant currency basis, which measure our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also apply the constant currency calculation for our subsidiaries operating in highly inflationary economies. We believe these measures provide useful information in evaluating the results of our business because they exclude items that we believe are not indicative of our ongoing performance or that we believe impact comparability with the prior year. </w:t>
      </w:r>
    </w:p>
    <w:p>
      <w:pPr>
        <w:pStyle w:val="TextBody"/>
        <w:bidi w:val="0"/>
        <w:spacing w:lineRule="auto" w:line="288" w:before="180" w:after="120"/>
        <w:jc w:val="both"/>
        <w:rPr>
          <w:rFonts w:ascii="Times New Roman;serif" w:hAnsi="Times New Roman;serif"/>
          <w:b w:val="false"/>
          <w:i/>
          <w:color w:val="000000"/>
          <w:sz w:val="24"/>
        </w:rPr>
      </w:pPr>
      <w:r>
        <w:rPr>
          <w:rFonts w:ascii="Times New Roman;serif" w:hAnsi="Times New Roman;serif"/>
          <w:b w:val="false"/>
          <w:i/>
          <w:color w:val="000000"/>
          <w:sz w:val="24"/>
        </w:rPr>
        <w:t>Free cash flow</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define free cash flow as net cash from operating activities less capital spending, plus sales of property, plant and equipment. Since net capital spending (capital spending less cash proceeds from sales of property, plant and equipment)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“Free Cash Flow” in “Our Liquidity and Capital Resources”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Items Affecting Comparability</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Our reported financial results in this Form 10-Q are impacted by the following items in each of the following periods:</w:t>
      </w:r>
    </w:p>
    <w:tbl>
      <w:tblPr>
        <w:tblW w:w="10205" w:type="dxa"/>
        <w:jc w:val="left"/>
        <w:tblInd w:w="0" w:type="dxa"/>
        <w:tblLayout w:type="fixed"/>
        <w:tblCellMar>
          <w:top w:w="28" w:type="dxa"/>
          <w:left w:w="28" w:type="dxa"/>
          <w:bottom w:w="28" w:type="dxa"/>
          <w:right w:w="28" w:type="dxa"/>
        </w:tblCellMar>
      </w:tblPr>
      <w:tblGrid>
        <w:gridCol w:w="767"/>
        <w:gridCol w:w="289"/>
        <w:gridCol w:w="290"/>
        <w:gridCol w:w="181"/>
        <w:gridCol w:w="587"/>
        <w:gridCol w:w="109"/>
        <w:gridCol w:w="109"/>
        <w:gridCol w:w="109"/>
        <w:gridCol w:w="109"/>
        <w:gridCol w:w="181"/>
        <w:gridCol w:w="586"/>
        <w:gridCol w:w="109"/>
        <w:gridCol w:w="109"/>
        <w:gridCol w:w="109"/>
        <w:gridCol w:w="109"/>
        <w:gridCol w:w="271"/>
        <w:gridCol w:w="765"/>
        <w:gridCol w:w="164"/>
        <w:gridCol w:w="109"/>
        <w:gridCol w:w="109"/>
        <w:gridCol w:w="109"/>
        <w:gridCol w:w="109"/>
        <w:gridCol w:w="109"/>
        <w:gridCol w:w="188"/>
        <w:gridCol w:w="530"/>
        <w:gridCol w:w="113"/>
        <w:gridCol w:w="109"/>
        <w:gridCol w:w="109"/>
        <w:gridCol w:w="109"/>
        <w:gridCol w:w="252"/>
        <w:gridCol w:w="568"/>
        <w:gridCol w:w="151"/>
        <w:gridCol w:w="109"/>
        <w:gridCol w:w="109"/>
        <w:gridCol w:w="109"/>
        <w:gridCol w:w="191"/>
        <w:gridCol w:w="413"/>
        <w:gridCol w:w="117"/>
        <w:gridCol w:w="109"/>
        <w:gridCol w:w="109"/>
        <w:gridCol w:w="109"/>
        <w:gridCol w:w="109"/>
        <w:gridCol w:w="109"/>
        <w:gridCol w:w="209"/>
        <w:gridCol w:w="590"/>
        <w:gridCol w:w="186"/>
      </w:tblGrid>
      <w:tr>
        <w:trPr/>
        <w:tc>
          <w:tcPr>
            <w:tcW w:w="7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12 Weeks Ended 9/5/2026</w:t>
            </w:r>
          </w:p>
        </w:tc>
        <w:tc>
          <w:tcPr>
            <w:tcW w:w="1530" w:type="dxa"/>
            <w:gridSpan w:val="8"/>
            <w:tcBorders/>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pension and retiree medical benefits (expense)/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Provision</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for</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income</w:t>
            </w:r>
          </w:p>
          <w:p>
            <w:pPr>
              <w:pStyle w:val="TableContents"/>
              <w:bidi w:val="0"/>
              <w:spacing w:lineRule="auto" w:line="240" w:before="0" w:after="0"/>
              <w:jc w:val="center"/>
              <w:rPr/>
            </w:pPr>
            <w:r>
              <w:rPr>
                <w:rFonts w:ascii="Times New Roman;serif" w:hAnsi="Times New Roman;serif"/>
                <w:b/>
                <w:color w:val="000000"/>
                <w:sz w:val="15"/>
              </w:rPr>
              <w:t>taxes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income attributable to PepsiCo</w:t>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9,494</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4,260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834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3,048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bookmarkStart w:id="37" w:name="i54618690ba024dc6a492974ecdeb21ec_9-11-1"/>
            <w:bookmarkEnd w:id="37"/>
            <w:r>
              <w:rPr>
                <w:rFonts w:ascii="Times New Roman;serif" w:hAnsi="Times New Roman;serif"/>
                <w:b w:val="false"/>
                <w:color w:val="000000"/>
                <w:sz w:val="15"/>
              </w:rPr>
              <w:t>179 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11,526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13,748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9,471</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4,277</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58</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868</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3,203</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0"/>
        <w:gridCol w:w="234"/>
        <w:gridCol w:w="235"/>
        <w:gridCol w:w="181"/>
        <w:gridCol w:w="571"/>
        <w:gridCol w:w="109"/>
        <w:gridCol w:w="109"/>
        <w:gridCol w:w="109"/>
        <w:gridCol w:w="109"/>
        <w:gridCol w:w="181"/>
        <w:gridCol w:w="571"/>
        <w:gridCol w:w="109"/>
        <w:gridCol w:w="109"/>
        <w:gridCol w:w="109"/>
        <w:gridCol w:w="109"/>
        <w:gridCol w:w="226"/>
        <w:gridCol w:w="620"/>
        <w:gridCol w:w="137"/>
        <w:gridCol w:w="109"/>
        <w:gridCol w:w="109"/>
        <w:gridCol w:w="109"/>
        <w:gridCol w:w="211"/>
        <w:gridCol w:w="473"/>
        <w:gridCol w:w="127"/>
        <w:gridCol w:w="109"/>
        <w:gridCol w:w="109"/>
        <w:gridCol w:w="109"/>
        <w:gridCol w:w="181"/>
        <w:gridCol w:w="498"/>
        <w:gridCol w:w="109"/>
        <w:gridCol w:w="109"/>
        <w:gridCol w:w="109"/>
        <w:gridCol w:w="109"/>
        <w:gridCol w:w="190"/>
        <w:gridCol w:w="317"/>
        <w:gridCol w:w="115"/>
        <w:gridCol w:w="109"/>
        <w:gridCol w:w="109"/>
        <w:gridCol w:w="109"/>
        <w:gridCol w:w="190"/>
        <w:gridCol w:w="398"/>
        <w:gridCol w:w="116"/>
        <w:gridCol w:w="109"/>
        <w:gridCol w:w="109"/>
        <w:gridCol w:w="109"/>
        <w:gridCol w:w="109"/>
        <w:gridCol w:w="109"/>
        <w:gridCol w:w="185"/>
        <w:gridCol w:w="507"/>
        <w:gridCol w:w="167"/>
      </w:tblGrid>
      <w:tr>
        <w:trPr/>
        <w:tc>
          <w:tcPr>
            <w:tcW w:w="7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4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12 Weeks Ended 9/6/2025</w:t>
            </w:r>
          </w:p>
        </w:tc>
        <w:tc>
          <w:tcPr>
            <w:tcW w:w="968" w:type="dxa"/>
            <w:gridSpan w:val="4"/>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Impairment of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Provision for income taxes</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5"/>
              </w:rPr>
            </w:pPr>
            <w:r>
              <w:rPr>
                <w:rFonts w:ascii="Times New Roman;serif" w:hAnsi="Times New Roman;serif"/>
                <w:b w:val="false"/>
                <w:color w:val="000000"/>
                <w:sz w:val="15"/>
              </w:rPr>
              <w:t>Net income attributable to PepsiCo</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9,122 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5"/>
              </w:rPr>
              <w:t>Indirect and income tax impact</w:t>
            </w:r>
            <w:r>
              <w:rPr>
                <w:color w:val="000000"/>
              </w:rPr>
              <w:t xml:space="preserve"> </w:t>
            </w:r>
            <w:r>
              <w:rPr>
                <w:rFonts w:ascii="Times New Roman;serif" w:hAnsi="Times New Roman;serif"/>
                <w:b w:val="false"/>
                <w:color w:val="000000"/>
                <w:sz w:val="10"/>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763"/>
        <w:gridCol w:w="282"/>
        <w:gridCol w:w="283"/>
        <w:gridCol w:w="181"/>
        <w:gridCol w:w="587"/>
        <w:gridCol w:w="109"/>
        <w:gridCol w:w="109"/>
        <w:gridCol w:w="109"/>
        <w:gridCol w:w="109"/>
        <w:gridCol w:w="181"/>
        <w:gridCol w:w="586"/>
        <w:gridCol w:w="109"/>
        <w:gridCol w:w="109"/>
        <w:gridCol w:w="109"/>
        <w:gridCol w:w="109"/>
        <w:gridCol w:w="244"/>
        <w:gridCol w:w="790"/>
        <w:gridCol w:w="147"/>
        <w:gridCol w:w="109"/>
        <w:gridCol w:w="109"/>
        <w:gridCol w:w="109"/>
        <w:gridCol w:w="109"/>
        <w:gridCol w:w="109"/>
        <w:gridCol w:w="185"/>
        <w:gridCol w:w="600"/>
        <w:gridCol w:w="111"/>
        <w:gridCol w:w="109"/>
        <w:gridCol w:w="109"/>
        <w:gridCol w:w="109"/>
        <w:gridCol w:w="233"/>
        <w:gridCol w:w="505"/>
        <w:gridCol w:w="140"/>
        <w:gridCol w:w="109"/>
        <w:gridCol w:w="109"/>
        <w:gridCol w:w="109"/>
        <w:gridCol w:w="181"/>
        <w:gridCol w:w="511"/>
        <w:gridCol w:w="109"/>
        <w:gridCol w:w="109"/>
        <w:gridCol w:w="109"/>
        <w:gridCol w:w="109"/>
        <w:gridCol w:w="109"/>
        <w:gridCol w:w="109"/>
        <w:gridCol w:w="205"/>
        <w:gridCol w:w="581"/>
        <w:gridCol w:w="184"/>
      </w:tblGrid>
      <w:tr>
        <w:trPr/>
        <w:tc>
          <w:tcPr>
            <w:tcW w:w="7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36 Weeks Ended 9/5/2026</w:t>
            </w:r>
          </w:p>
        </w:tc>
        <w:tc>
          <w:tcPr>
            <w:tcW w:w="1515" w:type="dxa"/>
            <w:gridSpan w:val="8"/>
            <w:tcBorders/>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Selling, general and administrative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Provision</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for</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income</w:t>
            </w:r>
          </w:p>
          <w:p>
            <w:pPr>
              <w:pStyle w:val="TableContents"/>
              <w:bidi w:val="0"/>
              <w:spacing w:lineRule="auto" w:line="240" w:before="0" w:after="0"/>
              <w:jc w:val="center"/>
              <w:rPr/>
            </w:pPr>
            <w:r>
              <w:rPr>
                <w:rFonts w:ascii="Times New Roman;serif" w:hAnsi="Times New Roman;serif"/>
                <w:b/>
                <w:color w:val="000000"/>
                <w:sz w:val="15"/>
              </w:rPr>
              <w:t>taxes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income attributable to PepsiCo</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37,596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26,100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11,496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8,356</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bookmarkStart w:id="38" w:name="i6fd9912202914c8492652602d20eb869_10-11-"/>
            <w:bookmarkEnd w:id="38"/>
            <w:r>
              <w:rPr>
                <w:rFonts w:ascii="Times New Roman;serif" w:hAnsi="Times New Roman;serif"/>
                <w:b w:val="false"/>
                <w:color w:val="000000"/>
                <w:sz w:val="15"/>
              </w:rPr>
              <w:t>179 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31,317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37,581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26,187</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11,394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176</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8,423</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34" w:type="dxa"/>
        <w:jc w:val="center"/>
        <w:tblInd w:w="0" w:type="dxa"/>
        <w:tblLayout w:type="fixed"/>
        <w:tblCellMar>
          <w:top w:w="28" w:type="dxa"/>
          <w:left w:w="28" w:type="dxa"/>
          <w:bottom w:w="28" w:type="dxa"/>
          <w:right w:w="28" w:type="dxa"/>
        </w:tblCellMar>
      </w:tblPr>
      <w:tblGrid>
        <w:gridCol w:w="735"/>
        <w:gridCol w:w="225"/>
        <w:gridCol w:w="226"/>
        <w:gridCol w:w="181"/>
        <w:gridCol w:w="571"/>
        <w:gridCol w:w="109"/>
        <w:gridCol w:w="109"/>
        <w:gridCol w:w="109"/>
        <w:gridCol w:w="109"/>
        <w:gridCol w:w="181"/>
        <w:gridCol w:w="571"/>
        <w:gridCol w:w="109"/>
        <w:gridCol w:w="109"/>
        <w:gridCol w:w="109"/>
        <w:gridCol w:w="109"/>
        <w:gridCol w:w="202"/>
        <w:gridCol w:w="637"/>
        <w:gridCol w:w="122"/>
        <w:gridCol w:w="109"/>
        <w:gridCol w:w="109"/>
        <w:gridCol w:w="109"/>
        <w:gridCol w:w="109"/>
        <w:gridCol w:w="109"/>
        <w:gridCol w:w="183"/>
        <w:gridCol w:w="502"/>
        <w:gridCol w:w="111"/>
        <w:gridCol w:w="109"/>
        <w:gridCol w:w="109"/>
        <w:gridCol w:w="109"/>
        <w:gridCol w:w="181"/>
        <w:gridCol w:w="571"/>
        <w:gridCol w:w="109"/>
        <w:gridCol w:w="109"/>
        <w:gridCol w:w="109"/>
        <w:gridCol w:w="109"/>
        <w:gridCol w:w="181"/>
        <w:gridCol w:w="376"/>
        <w:gridCol w:w="109"/>
        <w:gridCol w:w="109"/>
        <w:gridCol w:w="109"/>
        <w:gridCol w:w="109"/>
        <w:gridCol w:w="181"/>
        <w:gridCol w:w="496"/>
        <w:gridCol w:w="109"/>
        <w:gridCol w:w="109"/>
        <w:gridCol w:w="109"/>
        <w:gridCol w:w="109"/>
        <w:gridCol w:w="109"/>
        <w:gridCol w:w="109"/>
        <w:gridCol w:w="181"/>
        <w:gridCol w:w="49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36 Weeks Ended 9/6/2025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Impairment of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Operating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5"/>
              </w:rPr>
              <w:t>Provision for income taxes</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5"/>
              </w:rPr>
            </w:pPr>
            <w:r>
              <w:rPr>
                <w:rFonts w:ascii="Times New Roman;serif" w:hAnsi="Times New Roman;serif"/>
                <w:b w:val="false"/>
                <w:color w:val="000000"/>
                <w:sz w:val="15"/>
              </w:rPr>
              <w:t>Net income attributable to PepsiCo</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GAAP measure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Items Affecting Comparability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and divestiture-related charges/credits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5"/>
              </w:rPr>
              <w:t xml:space="preserve">Indirect and income tax impact </w:t>
            </w:r>
            <w:r>
              <w:rPr>
                <w:rFonts w:ascii="Times New Roman;serif" w:hAnsi="Times New Roman;serif"/>
                <w:b w:val="false"/>
                <w:color w:val="000000"/>
                <w:sz w:val="10"/>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 and retiree medical-related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non-GAAP measure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24,576 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(a)Provision for income taxes is the expected tax charge/benefit on the underlying item based on the tax laws and income tax rates applicable to the underlying item in its corresponding tax jurisdiction.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(b)Provision for income taxes reflects the unfavorable impact of an income tax audit settlement in our LatAm Foods segment.</w:t>
      </w:r>
    </w:p>
    <w:tbl>
      <w:tblPr>
        <w:tblW w:w="10205" w:type="dxa"/>
        <w:jc w:val="center"/>
        <w:tblInd w:w="0" w:type="dxa"/>
        <w:tblLayout w:type="fixed"/>
        <w:tblCellMar>
          <w:top w:w="28" w:type="dxa"/>
          <w:left w:w="28" w:type="dxa"/>
          <w:bottom w:w="28" w:type="dxa"/>
          <w:right w:w="28" w:type="dxa"/>
        </w:tblCellMar>
      </w:tblPr>
      <w:tblGrid>
        <w:gridCol w:w="1342"/>
        <w:gridCol w:w="772"/>
        <w:gridCol w:w="777"/>
        <w:gridCol w:w="211"/>
        <w:gridCol w:w="526"/>
        <w:gridCol w:w="109"/>
        <w:gridCol w:w="109"/>
        <w:gridCol w:w="109"/>
        <w:gridCol w:w="109"/>
        <w:gridCol w:w="211"/>
        <w:gridCol w:w="513"/>
        <w:gridCol w:w="109"/>
        <w:gridCol w:w="109"/>
        <w:gridCol w:w="109"/>
        <w:gridCol w:w="109"/>
        <w:gridCol w:w="210"/>
        <w:gridCol w:w="211"/>
        <w:gridCol w:w="437"/>
        <w:gridCol w:w="109"/>
        <w:gridCol w:w="109"/>
        <w:gridCol w:w="109"/>
        <w:gridCol w:w="211"/>
        <w:gridCol w:w="526"/>
        <w:gridCol w:w="109"/>
        <w:gridCol w:w="109"/>
        <w:gridCol w:w="109"/>
        <w:gridCol w:w="109"/>
        <w:gridCol w:w="211"/>
        <w:gridCol w:w="513"/>
        <w:gridCol w:w="109"/>
        <w:gridCol w:w="109"/>
        <w:gridCol w:w="109"/>
        <w:gridCol w:w="109"/>
        <w:gridCol w:w="214"/>
        <w:gridCol w:w="215"/>
        <w:gridCol w:w="437"/>
        <w:gridCol w:w="109"/>
        <w:gridCol w:w="109"/>
        <w:gridCol w:w="109"/>
        <w:gridCol w:w="109"/>
        <w:gridCol w:w="161"/>
      </w:tblGrid>
      <w:tr>
        <w:trPr/>
        <w:tc>
          <w:tcPr>
            <w:tcW w:w="134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PepsiCo per common share – diluted, GAAP measure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Mark-to-market net impact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charges/credits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other charges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and income tax impact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retiree medical-related impact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net income attributable to PepsiCo per common share – diluted, non-GAAP measure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Impact of foreign exchange translation</w:t>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core net income attributable to PepsiCo per common share – diluted, on a constant currency basis, non-GAAP measure</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(a)Does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Mark-to-Market Net Impact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We centrally manage commodity derivatives on behalf of our segments.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results when the segments recognize the cost of the underlying commodity in operating profit. Therefore, the segments realize the economic effects of the derivative without experiencing any resulting mark-to-market volatility, which remains in corporate unallocated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Restructuring and Impairment Charges</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2019 Multi-Year Productivity Plan</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The 2019 Productivity Plan </w:t>
      </w:r>
      <w:r>
        <w:rPr>
          <w:rFonts w:ascii="Times New Roman;serif" w:hAnsi="Times New Roman;serif"/>
          <w:b w:val="false"/>
          <w:color w:val="000000"/>
          <w:sz w:val="24"/>
        </w:rPr>
        <w:t xml:space="preserve">leverages new technology and business models to further simplify, harmonize and automate processes; re-engineers our go-to-market and information systems, </w:t>
      </w:r>
      <w:r>
        <w:rPr>
          <w:rFonts w:ascii="Times New Roman;serif" w:hAnsi="Times New Roman;serif"/>
          <w:b w:val="false"/>
          <w:color w:val="000000"/>
          <w:sz w:val="24"/>
          <w:shd w:fill="FFFFFF" w:val="clear"/>
        </w:rPr>
        <w:t>including deploying the</w:t>
      </w:r>
      <w:r>
        <w:rPr>
          <w:color w:val="000000"/>
        </w:rPr>
        <w:t xml:space="preserve"> </w:t>
      </w:r>
      <w:r>
        <w:rPr>
          <w:rFonts w:ascii="Times New Roman;serif" w:hAnsi="Times New Roman;serif"/>
          <w:b w:val="false"/>
          <w:color w:val="000000"/>
          <w:sz w:val="24"/>
        </w:rPr>
        <w:t>right automation for each market; and simplifies our organization and optimizes our manufacturing and supply chain footprint.</w:t>
      </w:r>
      <w:r>
        <w:rPr>
          <w:color w:val="000000"/>
          <w:shd w:fill="FFFFFF" w:val="clear"/>
        </w:rPr>
        <w:t xml:space="preserve"> </w:t>
      </w:r>
      <w:r>
        <w:rPr>
          <w:rFonts w:ascii="Times New Roman;serif" w:hAnsi="Times New Roman;serif"/>
          <w:b w:val="false"/>
          <w:color w:val="000000"/>
          <w:sz w:val="24"/>
        </w:rPr>
        <w:t>To build on the successful implementation of the 2019 Productivity Plan, in 2024, we further expanded and extended the plan through the end of 2030 to take advantage of additional opportunities within the initiatives described above. As a result, we expect to incur pre-tax charges of approximately $6.15 billion, including cash expenditures of approximately $5.1 billion. Plan-to-date through September 5, 2026, we have incurred pre-tax charges of $4.0 billion, including cash expenditures of $3.1 billion. For the remainder of 2026, we expect to incur pre-tax charges of approximately $500 million and cash expenditures of approximately $250 million. These charges will be funded primarily through cash from operations. We expect to incur the majority of the remaining pre-tax charges and cash expenditures through 2027, with the balance to be incurred through 2030. Charges include severance and other employee costs, asset impairments and other costs.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See Note 3 to our condensed consolidated financial statements in this Form 10-Q, as well as Note 3 to our consolidated financial statements in our 2025 Form 10-K, for further information related to our 2019 Productivity Plan.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regularly evaluate productivity initiatives beyond the productivity plan and other initiatives discussed above and in Note 3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Acquisition and Divestiture-Related Charges/Credits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Acquisition and divestiture-related charges/credits include merger and integration charges, transaction expenses, such as consulting, advisory and other professional fees, as well as fair value adjustments to contingent consideration and to the acquired inventory included in the acquisition-date balance sheets. Merger and integration charges include distribution agreement termination fees, impairment of certain acquisition-related intangibles, employee-related costs, closing costs and other integration costs.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Note 11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Impairment and Other Charges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recognized charges primarily related to the impairments of the Rockstar and Be &amp; Cheery brands.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Notes 1 and 4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Indirect and Income Tax Impact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recognized additional expenses related to an indirect and income tax audit settlement in our LatAm Foods segment.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Note 1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Pension and Retiree Medical-Related Impact</w:t>
      </w:r>
    </w:p>
    <w:p>
      <w:pPr>
        <w:pStyle w:val="TextBody"/>
        <w:bidi w:val="0"/>
        <w:spacing w:lineRule="auto" w:line="288" w:before="120" w:after="120"/>
        <w:jc w:val="both"/>
        <w:rPr/>
      </w:pPr>
      <w:r>
        <w:rPr>
          <w:rFonts w:ascii="Times New Roman;serif" w:hAnsi="Times New Roman;serif"/>
          <w:b w:val="false"/>
          <w:color w:val="000000"/>
          <w:sz w:val="24"/>
          <w:shd w:fill="FFFFFF" w:val="clear"/>
        </w:rPr>
        <w:t>Pension and retiree medical-related impact incl</w:t>
      </w:r>
      <w:r>
        <w:rPr>
          <w:rFonts w:ascii="Times New Roman;serif" w:hAnsi="Times New Roman;serif"/>
          <w:b w:val="false"/>
          <w:color w:val="000000"/>
          <w:sz w:val="24"/>
        </w:rPr>
        <w:t xml:space="preserve">udes settlement charges related to lump sum distributions exceeding the total of annual service and interest costs, as </w:t>
      </w:r>
      <w:r>
        <w:rPr>
          <w:rFonts w:ascii="Times New Roman;serif" w:hAnsi="Times New Roman;serif"/>
          <w:b w:val="false"/>
          <w:color w:val="000000"/>
          <w:sz w:val="24"/>
          <w:shd w:fill="FFFFFF" w:val="clear"/>
        </w:rPr>
        <w:t>well as net curtailment losses.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See Note </w:t>
      </w:r>
      <w:r>
        <w:rPr>
          <w:rFonts w:ascii="Times New Roman;serif" w:hAnsi="Times New Roman;serif"/>
          <w:b w:val="false"/>
          <w:color w:val="000000"/>
          <w:sz w:val="24"/>
        </w:rPr>
        <w:t>6</w:t>
      </w:r>
      <w:r>
        <w:rPr>
          <w:color w:val="000000"/>
          <w:shd w:fill="FFFFFF" w:val="clear"/>
        </w:rPr>
        <w:t xml:space="preserve"> </w:t>
      </w:r>
      <w:r>
        <w:rPr>
          <w:rFonts w:ascii="Times New Roman;serif" w:hAnsi="Times New Roman;serif"/>
          <w:b w:val="false"/>
          <w:color w:val="000000"/>
          <w:sz w:val="24"/>
          <w:shd w:fill="FFFFFF" w:val="clear"/>
        </w:rPr>
        <w:t>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Our Liquidity and Capital Resources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believe that our cash generating capability and financial condition, together with our revolving credit facilities, working capital lines and other available methods of debt financing, such as commercial paper borrowings and long-term debt financing, will be adequate to meet our operating, investing and financing needs, including with respect to our net capital spending plans. Our primary sources of liquidity include cash from operations, proceeds obtained from issuances of commercial paper and long-term debt, and cash and cash equivalents. These sources of cash are available to fund cash outflows that have both a short- and long-term component, including debt repayments and related interest payments; payments for acquisitions; operating leases; purchase, marketing, and other contractual commitments, including capital expenditures. In addition, these sources of cash fund other cash outflows including anticipated dividend payments and share repurchases. We do not have guarantees or off-balance sheet financing arrangements, including variable interest entities, that we believe could have a material impact on our liquidity. See “Our Business Risks” and Note 7 to our condensed consolidated financial statements included in this Form 10-Q, as well as “Item 1A. Risk Factors,” “Item 7. Management’s Discussion and Analysis of Financial Condition and Results of Operations – Our Business Risks” and Note 8 to our consolidated financial statements included in our 2025 Form 10-K for further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As of September 5, 2026, cash, cash equivalents and short-term investments in our consolidated subsidiaries outside of Russia that are subject to currency controls or currency exchange restrictions were not material. </w:t>
      </w:r>
      <w:bookmarkStart w:id="39" w:name="i53634cce4996423cbad16fd8a917a746_2924"/>
      <w:bookmarkEnd w:id="39"/>
      <w:r>
        <w:rPr>
          <w:rFonts w:ascii="Times New Roman;serif" w:hAnsi="Times New Roman;serif"/>
          <w:b w:val="false"/>
          <w:color w:val="000000"/>
          <w:sz w:val="24"/>
        </w:rPr>
        <w:t>As of September 5, 2026, Russia accounted for 20% of our consolidated cash and cash equivalents. Our sources and uses of cash were not materially adversely impacted by the cash and cash equivalents held in Russia and, to date, we have not identified any material impact on our liquidity or capital resources as a result of these amounts. See “Our Business Risks” for further information on our operations in Russia.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TCJ Act imposed a one-time mandatory transition tax on undistributed international earnings. As of September 5, 2026, our final mandatory transition tax liability of $965 million has been paid. See “Our Liquidity and Capital Resources” and Note 5 to our consolidated financial statements included in our 2025 Form 10-K for further discussion of the TCJ Act. </w:t>
      </w:r>
    </w:p>
    <w:p>
      <w:pPr>
        <w:pStyle w:val="TextBody"/>
        <w:bidi w:val="0"/>
        <w:spacing w:lineRule="auto" w:line="288" w:before="120" w:after="120"/>
        <w:jc w:val="both"/>
        <w:rPr/>
      </w:pPr>
      <w:r>
        <w:rPr>
          <w:rFonts w:ascii="Times New Roman;serif" w:hAnsi="Times New Roman;serif"/>
          <w:b w:val="false"/>
          <w:color w:val="000000"/>
          <w:sz w:val="24"/>
        </w:rPr>
        <w:t xml:space="preserve">Supply chain financing arrangements did not have a material impact on our liquidity or capital resources in the periods presented and we do not expect such arrangements to have a material impact on our liquidity or capital resources for the foreseeable future. See Note </w:t>
      </w:r>
      <w:r>
        <w:rPr>
          <w:rFonts w:ascii="Times New Roman;serif" w:hAnsi="Times New Roman;serif"/>
          <w:b w:val="false"/>
          <w:color w:val="000000"/>
          <w:sz w:val="24"/>
          <w:shd w:fill="FFFFFF" w:val="clear"/>
        </w:rPr>
        <w:t>12</w:t>
      </w:r>
      <w:r>
        <w:rPr>
          <w:color w:val="000000"/>
        </w:rPr>
        <w:t xml:space="preserve"> </w:t>
      </w:r>
      <w:r>
        <w:rPr>
          <w:rFonts w:ascii="Times New Roman;serif" w:hAnsi="Times New Roman;serif"/>
          <w:b w:val="false"/>
          <w:color w:val="000000"/>
          <w:sz w:val="24"/>
        </w:rPr>
        <w:t>to our condensed consolidated financial statements for further discussion of supply chain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Operating Activities</w:t>
      </w:r>
    </w:p>
    <w:p>
      <w:pPr>
        <w:pStyle w:val="TextBody"/>
        <w:bidi w:val="0"/>
        <w:spacing w:lineRule="auto" w:line="288" w:before="120" w:after="120"/>
        <w:jc w:val="both"/>
        <w:rPr/>
      </w:pPr>
      <w:r>
        <w:rPr>
          <w:rFonts w:ascii="Times New Roman;serif" w:hAnsi="Times New Roman;serif"/>
          <w:b w:val="false"/>
          <w:color w:val="000000"/>
          <w:sz w:val="24"/>
        </w:rPr>
        <w:t>During the 36 weeks ended September 5, 2026, net cash provided by operating activities was $8.0 billion, compared to net cash provided by operating activities of $5.5 billion in the prior-year period. The increase</w:t>
      </w:r>
      <w:r>
        <w:rPr>
          <w:color w:val="000000"/>
          <w:shd w:fill="FFFFFF" w:val="clear"/>
        </w:rPr>
        <w:t xml:space="preserve"> </w:t>
      </w:r>
      <w:r>
        <w:rPr>
          <w:rFonts w:ascii="Times New Roman;serif" w:hAnsi="Times New Roman;serif"/>
          <w:b w:val="false"/>
          <w:color w:val="000000"/>
          <w:sz w:val="24"/>
        </w:rPr>
        <w:t>in operating cash flow primarily reflects favorable operating profit performance and favorable working capital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Investing Activities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During the 36 weeks ended September 5, 2026, net cash used for investing activities was </w:t>
      </w:r>
      <w:r>
        <w:rPr>
          <w:rFonts w:ascii="Times New Roman;serif" w:hAnsi="Times New Roman;serif"/>
          <w:b w:val="false"/>
          <w:color w:val="000000"/>
          <w:sz w:val="24"/>
        </w:rPr>
        <w:t>$2.3 billion</w:t>
      </w:r>
      <w:r>
        <w:rPr>
          <w:rFonts w:ascii="Times New Roman;serif" w:hAnsi="Times New Roman;serif"/>
          <w:b w:val="false"/>
          <w:color w:val="000000"/>
          <w:sz w:val="24"/>
          <w:shd w:fill="FFFFFF" w:val="clear"/>
        </w:rPr>
        <w:t xml:space="preserve">, primarily reflecting net capital spending of </w:t>
      </w:r>
      <w:r>
        <w:rPr>
          <w:rFonts w:ascii="Times New Roman;serif" w:hAnsi="Times New Roman;serif"/>
          <w:b w:val="false"/>
          <w:color w:val="000000"/>
          <w:sz w:val="24"/>
        </w:rPr>
        <w:t>$2.1 billion.</w:t>
      </w:r>
    </w:p>
    <w:p>
      <w:pPr>
        <w:pStyle w:val="TextBody"/>
        <w:bidi w:val="0"/>
        <w:spacing w:lineRule="auto" w:line="288" w:before="120" w:after="120"/>
        <w:jc w:val="both"/>
        <w:rPr/>
      </w:pPr>
      <w:r>
        <w:rPr>
          <w:rFonts w:ascii="Times New Roman;serif" w:hAnsi="Times New Roman;serif"/>
          <w:b w:val="false"/>
          <w:color w:val="000000"/>
          <w:sz w:val="24"/>
          <w:shd w:fill="FFFFFF" w:val="clear"/>
        </w:rPr>
        <w:t>We regularly review our plans with respect to ne</w:t>
      </w:r>
      <w:r>
        <w:rPr>
          <w:rFonts w:ascii="Times New Roman;serif" w:hAnsi="Times New Roman;serif"/>
          <w:b w:val="false"/>
          <w:color w:val="000000"/>
          <w:sz w:val="24"/>
        </w:rPr>
        <w:t>t capital spending and believe that we have sufficient liquidity to meet our net capital spending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Financing Activities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36 weeks ended September 5, 2026, net cash used for financing activities was $3.9 billion, primarily reflecting the return of operating cash flow to our shareholders through dividend payments and share repurchases of $6.7 billion and payments of long-term debt borrowings of $2.3 billion, offset by proceeds from the issuances of long-term debt of $3.0 billion and net proceeds of short-term borrowings of $2.1 billion.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annually review our capital structure with our Board of Directors, including our dividend policy and share repurchase activity. On February 3, 2026, we announced a new share repurchase program providing for the repurchase of up to $10 billion of PepsiCo common stock which commenced on February 1, 2026 and will expire on February 28, 2030. In addition, on February 3, 2026, we announced a 4% increase in our annualized dividend to $5.92 per share from $5.69 per share, effective with the dividend paid in June 2026. We expect to return a total of approximately $8.9 billion to shareholders in 2026, comprising dividends of approximately $7.9 billion and share repurchases of approximately $1.0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4"/>
        </w:rPr>
      </w:pPr>
      <w:r>
        <w:rPr>
          <w:rFonts w:ascii="Times New Roman;serif" w:hAnsi="Times New Roman;serif"/>
          <w:b/>
          <w:i/>
          <w:color w:val="000000"/>
          <w:sz w:val="24"/>
        </w:rPr>
        <w:t xml:space="preserve">Free Cash Flow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table below reconciles net cash provided by operating activities, as reflected on our cash flow statement, to our free cash flow. Free cash flow is a non-GAAP financial measure. For further information on free cash flow, see “Non-GAAP Measures.”</w:t>
      </w:r>
    </w:p>
    <w:tbl>
      <w:tblPr>
        <w:tblW w:w="7247" w:type="dxa"/>
        <w:jc w:val="left"/>
        <w:tblInd w:w="0" w:type="dxa"/>
        <w:tblLayout w:type="fixed"/>
        <w:tblCellMar>
          <w:top w:w="28" w:type="dxa"/>
          <w:left w:w="28" w:type="dxa"/>
          <w:bottom w:w="28" w:type="dxa"/>
          <w:right w:w="28" w:type="dxa"/>
        </w:tblCellMar>
      </w:tblPr>
      <w:tblGrid>
        <w:gridCol w:w="1729"/>
        <w:gridCol w:w="1515"/>
        <w:gridCol w:w="1526"/>
        <w:gridCol w:w="211"/>
        <w:gridCol w:w="631"/>
        <w:gridCol w:w="109"/>
        <w:gridCol w:w="109"/>
        <w:gridCol w:w="109"/>
        <w:gridCol w:w="109"/>
        <w:gridCol w:w="211"/>
        <w:gridCol w:w="616"/>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GAAP measure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spending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 measure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use free cash flow primarily for acquisitions and financing activities, including debt repayments, dividends and share repurchases. We expect to continue to return free cash flow to our shareholders primarily through dividends and share repurchases while maintaining Tier 1 commercial paper access, which we believe will facilitate appropriate financial flexibility and ready access to global capital and credit markets at favorable interest rates. See “Our Business Risks” included in this Form 10-Q, as well as “Item 1A. Risk Factors” and “Item 7. Management’s Discussion and Analysis of Financial Condition and Results of Operations – Our Business Risks,” included in our 2025 Form 10-K, for certain factors that may impact our credit ratings or our operating cash flows.</w:t>
      </w:r>
    </w:p>
    <w:p>
      <w:pPr>
        <w:pStyle w:val="TextBody"/>
        <w:bidi w:val="0"/>
        <w:spacing w:lineRule="auto" w:line="288" w:before="120" w:after="120"/>
        <w:jc w:val="both"/>
        <w:rPr/>
      </w:pPr>
      <w:r>
        <w:rPr>
          <w:rFonts w:ascii="Times New Roman;serif" w:hAnsi="Times New Roman;serif"/>
          <w:b w:val="false"/>
          <w:color w:val="000000"/>
          <w:sz w:val="24"/>
        </w:rPr>
        <w:t>Any downgrade of our credit ratings by a credit rating agency, especially any downgrade to below investment grade, whether or not as a result of our actions or factors which are beyond our control, could increase our future borrowing costs and impair our ability to access capital and credit markets on terms commercially acceptable to us, or at all. In addition, any downgrade of our current short-term credit ratings could impair our ability to access the commercial paper market with the same flexibility that we have experienced historically, and therefore require us to rely more heavily on more expensive types of debt financing. See Note</w:t>
      </w:r>
      <w:r>
        <w:rPr>
          <w:color w:val="000000"/>
        </w:rPr>
        <w:t xml:space="preserve"> </w:t>
      </w:r>
      <w:r>
        <w:rPr>
          <w:rFonts w:ascii="Times New Roman;serif" w:hAnsi="Times New Roman;serif"/>
          <w:b w:val="false"/>
          <w:color w:val="000000"/>
          <w:sz w:val="24"/>
        </w:rPr>
        <w:t>7 to our condensed consolidated financial statements and “Our Business Risks” included in this Form 10-Q, as well as “Item 1A. Risk Factors” and “Item 7. Management’s Discussion and Analysis of Financial Condition and Results of Operations – Our Business Risks” included in our 2025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260"/>
        <w:ind w:left="0" w:right="0" w:firstLine="72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To the Shareholders and Board of Directors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PepsiCo, Inc.:</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 xml:space="preserve">Results of Review of Interim Financial Information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have reviewed the Condensed Consolidated Balance Sheet of PepsiCo, Inc. and subsidiaries (the Company) as of September 5, 2026, the related Condensed Consolidated Statements of Income, Comprehensive Income, and Equity for the twelve and thirty-six weeks ended September 5, 2026 and September 6, 2025, the related Condensed Consolidated Statement of Cash Flows for the thirty-six weeks ended September 5, 2026 and September 6,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have previously audited, in accordance with the standards of the Public Company Accounting Oversight Board (United States) (PCAOB), the Consolidated Balance Sheet of the Company as of December 27, 2025, and the related Consolidated Statements of Income, Comprehensive Income, Cash Flows and Equity for the fiscal year then ended (not presented herein); and in our report dated February 2, 2026, we expressed an unqualified opinion on those consolidated financial statements. In our opinion, the information set forth in the accompanying Condensed Consolidated Balance Sheet as of December 27, 2025 is fairly stated, in all material respects, in relation to the Consolidated Balance Sheet from which it has been derived.</w:t>
      </w:r>
    </w:p>
    <w:p>
      <w:pPr>
        <w:pStyle w:val="TextBody"/>
        <w:bidi w:val="0"/>
        <w:spacing w:lineRule="auto" w:line="288" w:before="120" w:after="120"/>
        <w:jc w:val="both"/>
        <w:rPr>
          <w:rFonts w:ascii="Times New Roman;serif" w:hAnsi="Times New Roman;serif"/>
          <w:b w:val="false"/>
          <w:i/>
          <w:color w:val="000000"/>
          <w:sz w:val="24"/>
        </w:rPr>
      </w:pPr>
      <w:r>
        <w:rPr>
          <w:rFonts w:ascii="Times New Roman;serif" w:hAnsi="Times New Roman;serif"/>
          <w:b w:val="false"/>
          <w:i/>
          <w:color w:val="000000"/>
          <w:sz w:val="24"/>
        </w:rPr>
        <w:t>Basis for Review Results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/s/ KPMG LLP</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New York, New York</w:t>
      </w:r>
    </w:p>
    <w:p>
      <w:pPr>
        <w:pStyle w:val="TextBody"/>
        <w:bidi w:val="0"/>
        <w:spacing w:lineRule="auto" w:line="288" w:before="120" w:after="60"/>
        <w:jc w:val="both"/>
        <w:rPr>
          <w:rFonts w:ascii="Times New Roman;serif" w:hAnsi="Times New Roman;serif"/>
          <w:b w:val="false"/>
          <w:color w:val="000000"/>
          <w:sz w:val="24"/>
        </w:rPr>
      </w:pPr>
      <w:r>
        <w:rPr>
          <w:rFonts w:ascii="Times New Roman;serif" w:hAnsi="Times New Roman;serif"/>
          <w:b w:val="false"/>
          <w:color w:val="000000"/>
          <w:sz w:val="24"/>
        </w:rPr>
        <w:t>October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60" w:after="120"/>
        <w:jc w:val="both"/>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See “Item 2. Management’s Discussion and Analysis of Financial Condition and Results of Operations – Our Business Risks.” In addition, see “Item 1A. Risk Factors,” “Item 7. Management’s Discussion and Analysis of Financial Condition and Results of Operations – Our Business Risks” and Note 9 to our consolidated financial statements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 xml:space="preserve">ITEM 4. Controls and Procedures.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Securities and Exchange Commission rules and forms, and (2)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120"/>
        <w:jc w:val="both"/>
        <w:rPr/>
      </w:pPr>
      <w:r>
        <w:rPr>
          <w:rFonts w:ascii="Times New Roman;serif" w:hAnsi="Times New Roman;serif"/>
          <w:b w:val="false"/>
          <w:color w:val="000000"/>
          <w:sz w:val="24"/>
        </w:rPr>
        <w:t>During the 12 weeks ended September 5, 2026, we continued migrating certain of our financial processing systems to an Enterprise Resource Planning (ERP) solution. These systems implementations are part of our ongoing global business transformation initiative, and we plan to continue implementing such systems throughout other parts of our businesses in phases over the next several years. In connection with these ERP implementations, we are updating and will continue to update our internal control over financial reporting, as necessary, to accommodate modifications to our business processes and accounting procedures. During the 12 weeks ended September 5, 2026, we continued implementing these systems, resulting in changes that materially affected our internal control over financial reporting. These system implementations did not have an adverse effect, nor do we expect will have an adverse effect, on our internal control over financial reporting. In addition, in connection with our 2019 multi-year productivity plan, we continue</w:t>
      </w:r>
      <w:r>
        <w:rPr>
          <w:color w:val="000000"/>
        </w:rPr>
        <w:t xml:space="preserve"> </w:t>
      </w:r>
      <w:r>
        <w:rPr>
          <w:rFonts w:ascii="Times New Roman;serif" w:hAnsi="Times New Roman;serif"/>
          <w:b w:val="false"/>
          <w:color w:val="000000"/>
          <w:sz w:val="24"/>
        </w:rPr>
        <w:t>to migrate to shared business models across our operations to further simplify, harmonize and automate processes. In connection with our 2019 multi-year productivity plan and resulting organization and business process changes, we continue to enhance the design and documentation of our internal control over financial reporting processes, to maintain effective controls over our financial reporting. These changes have not materially affected, and we do not expect them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Except with respect to the continued implementation of ERP systems, there have been no changes in our internal control over financial reporting during the 12 weeks ended September 5, 2026 that have materially affected, or are reasonably likely to materially affect, our internal control over financial reporting. We will continue to assess the impact on our internal control over financial reporting as we continue to implement our ERP solution and our 2019 multi-year productivity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following information should be read in conjunction with the discussion set forth under Part I, “Item 3. Legal Proceedings” in our 2025 Form 10-K and Part II, “Item 1. Legal Proceedings” in our Quarterly Report on Form 10-Q for the quarter ended March 21,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As previously disclosed, on June 20, 2024, the Mayor and City Council of Baltimore, Maryland filed a lawsuit against PepsiCo, Inc., Frito-Lay, Inc., Frito-Lay North America, Inc., and several other unrelated parties (the Baltimore Matter). On July 21, 2025, the Circuit Court for Baltimore City, Maryland dismissed with prejudice all claims except for public nuisance. </w:t>
      </w:r>
      <w:bookmarkStart w:id="40" w:name="i2047a1c6379a434a8d4ff406df113cf6_4736"/>
      <w:bookmarkEnd w:id="40"/>
      <w:r>
        <w:rPr>
          <w:rFonts w:ascii="Times New Roman;serif" w:hAnsi="Times New Roman;serif"/>
          <w:b w:val="false"/>
          <w:color w:val="000000"/>
          <w:sz w:val="24"/>
        </w:rPr>
        <w:t>On July 21, 2026, the court dismissed the remaining public nuisance claim and on August 18, 2026 the plaintiffs filed a notice of appeal as to all claims. The appeal is proceeding before the Appellate Court of Maryland. Please refer to Part I, “Item 3. Legal Proceedings” in our 2025 Form 10-K for additional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addition, we and our subsidiaries are party to a variety of litigation, claims, legal or regulatory proceedings, inquiries and investigations. While the results of the NYS Matter, Los Angeles Matter and USVI Matter (each, as defined in our 2025 Form 10-K), the Baltimore Matter and each such other litigation, claim, legal or regulatory proceeding, inquiry and investigation cannot be predicted with certainty, management believes that the final outcome of the foregoing is not expected to have a material adverse effect on our financial condition, results of operations or cash flows. See also “Item 1. Business – Regulatory Matters” and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There have been no material changes with respect to the risk factors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 summary of our common stock repurchases (in millions, except average price per share) during the 12 weeks ended September 5, 2026 is set forth in the table below.</w:t>
      </w:r>
    </w:p>
    <w:p>
      <w:pPr>
        <w:pStyle w:val="TextBody"/>
        <w:bidi w:val="0"/>
        <w:spacing w:lineRule="auto" w:line="288" w:before="60" w:after="120"/>
        <w:jc w:val="center"/>
        <w:rPr>
          <w:rFonts w:ascii="Times New Roman;serif" w:hAnsi="Times New Roman;serif"/>
          <w:b/>
          <w:color w:val="000000"/>
          <w:sz w:val="24"/>
        </w:rPr>
      </w:pPr>
      <w:r>
        <w:rPr>
          <w:rFonts w:ascii="Times New Roman;serif" w:hAnsi="Times New Roman;serif"/>
          <w:b/>
          <w:color w:val="000000"/>
          <w:sz w:val="24"/>
        </w:rPr>
        <w:t xml:space="preserve">Issuer Purchases of Common Stock </w:t>
      </w:r>
    </w:p>
    <w:tbl>
      <w:tblPr>
        <w:tblW w:w="10205" w:type="dxa"/>
        <w:jc w:val="center"/>
        <w:tblInd w:w="0" w:type="dxa"/>
        <w:tblLayout w:type="fixed"/>
        <w:tblCellMar>
          <w:top w:w="28" w:type="dxa"/>
          <w:left w:w="28" w:type="dxa"/>
          <w:bottom w:w="28" w:type="dxa"/>
          <w:right w:w="28" w:type="dxa"/>
        </w:tblCellMar>
      </w:tblPr>
      <w:tblGrid>
        <w:gridCol w:w="599"/>
        <w:gridCol w:w="526"/>
        <w:gridCol w:w="530"/>
        <w:gridCol w:w="109"/>
        <w:gridCol w:w="109"/>
        <w:gridCol w:w="109"/>
        <w:gridCol w:w="523"/>
        <w:gridCol w:w="523"/>
        <w:gridCol w:w="524"/>
        <w:gridCol w:w="109"/>
        <w:gridCol w:w="109"/>
        <w:gridCol w:w="109"/>
        <w:gridCol w:w="321"/>
        <w:gridCol w:w="1174"/>
        <w:gridCol w:w="156"/>
        <w:gridCol w:w="109"/>
        <w:gridCol w:w="109"/>
        <w:gridCol w:w="109"/>
        <w:gridCol w:w="565"/>
        <w:gridCol w:w="565"/>
        <w:gridCol w:w="566"/>
        <w:gridCol w:w="109"/>
        <w:gridCol w:w="109"/>
        <w:gridCol w:w="109"/>
        <w:gridCol w:w="481"/>
        <w:gridCol w:w="1508"/>
        <w:gridCol w:w="336"/>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Total</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Number of</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Shares</w:t>
            </w:r>
          </w:p>
          <w:p>
            <w:pPr>
              <w:pStyle w:val="TableContents"/>
              <w:bidi w:val="0"/>
              <w:spacing w:lineRule="auto" w:line="240" w:before="0" w:after="0"/>
              <w:jc w:val="center"/>
              <w:rPr/>
            </w:pPr>
            <w:r>
              <w:rPr>
                <w:rFonts w:ascii="Times New Roman;serif" w:hAnsi="Times New Roman;serif"/>
                <w:b/>
                <w:color w:val="000000"/>
                <w:sz w:val="24"/>
              </w:rPr>
              <w:t>Repurchased</w:t>
            </w: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Total Number</w:t>
              <w:br/>
              <w:t>of Shares</w:t>
              <w:br/>
              <w:t>Purchased as</w:t>
              <w:br/>
              <w:t>Part of Publicly</w:t>
              <w:br/>
              <w:t>Announced</w:t>
              <w:br/>
              <w:t>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Approximate</w:t>
              <w:br/>
              <w:t>Dollar Value of</w:t>
              <w:br/>
              <w:t>Shares That May Yet Be</w:t>
              <w:br/>
              <w:t>Purchased</w:t>
              <w:br/>
              <w:t>Under the Plans</w:t>
              <w:br/>
              <w:t>or Programs</w:t>
            </w:r>
          </w:p>
        </w:tc>
      </w:tr>
      <w:tr>
        <w:trPr/>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9,518 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6/14/2026 - 7/11/2026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9,438 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7/12/2026 - 8/8/2026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8/9/2026 - 9/5/2026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0.7 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1.9</w:t>
            </w:r>
            <w:r>
              <w:rPr>
                <w:color w:val="000000"/>
              </w:rPr>
              <w:t> </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140.08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1.9</w:t>
            </w:r>
            <w:r>
              <w:rPr>
                <w:color w:val="000000"/>
              </w:rPr>
              <w:t>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9,251</w:t>
            </w: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shares were repurchased in open market transactions pursuant to the $10 billion repurchase program authorized by our Board and publicly announced on February 3, 2026, which commenced on February 1, 2026 and will expire on February 28, 2030. Shares repurchased under this program may be repurchased in open market transactions, in privately negotiated transactions, in accelerated stock repurchase transactions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During the 12 weeks ended September 5, 2026, none of our directors or executive officers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4"/>
        </w:rPr>
      </w:pPr>
      <w:r>
        <w:rPr>
          <w:rFonts w:ascii="Times New Roman;serif" w:hAnsi="Times New Roman;serif"/>
          <w:b/>
          <w:color w:val="000000"/>
          <w:sz w:val="24"/>
        </w:rPr>
        <w:t>ITEM 6. Exhibits.</w:t>
      </w:r>
    </w:p>
    <w:tbl>
      <w:tblPr>
        <w:tblW w:w="3569" w:type="dxa"/>
        <w:jc w:val="left"/>
        <w:tblInd w:w="0" w:type="dxa"/>
        <w:tblLayout w:type="fixed"/>
        <w:tblCellMar>
          <w:top w:w="28" w:type="dxa"/>
          <w:left w:w="28" w:type="dxa"/>
          <w:bottom w:w="28" w:type="dxa"/>
          <w:right w:w="28" w:type="dxa"/>
        </w:tblCellMar>
      </w:tblPr>
      <w:tblGrid>
        <w:gridCol w:w="1141"/>
        <w:gridCol w:w="1005"/>
        <w:gridCol w:w="1423"/>
      </w:tblGrid>
      <w:tr>
        <w:trPr/>
        <w:tc>
          <w:tcPr>
            <w:tcW w:w="114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100" w:after="283"/>
              <w:jc w:val="both"/>
              <w:rPr/>
            </w:pPr>
            <w:r>
              <w:rPr>
                <w:rFonts w:ascii="Times New Roman;serif" w:hAnsi="Times New Roman;serif"/>
                <w:b w:val="false"/>
                <w:color w:val="000000"/>
                <w:sz w:val="24"/>
              </w:rPr>
              <w:t xml:space="preserve">See “Index to Exhibits” on page </w:t>
            </w:r>
            <w:hyperlink w:anchor="i412bf32460d148378ad529c1f89c29a3_241">
              <w:r>
                <w:rPr>
                  <w:rStyle w:val="InternetLink"/>
                  <w:rFonts w:ascii="Times New Roman;serif" w:hAnsi="Times New Roman;serif"/>
                  <w:b w:val="false"/>
                  <w:color w:val="0000FF"/>
                  <w:sz w:val="24"/>
                  <w:u w:val="single"/>
                </w:rPr>
                <w:t>54</w:t>
              </w:r>
            </w:hyperlink>
            <w:r>
              <w:rPr>
                <w:rFonts w:ascii="Times New Roman;serif" w:hAnsi="Times New Roman;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INDEX TO EXHIBITS</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ITEM 6</w:t>
      </w:r>
    </w:p>
    <w:tbl>
      <w:tblPr>
        <w:tblW w:w="10205" w:type="dxa"/>
        <w:jc w:val="center"/>
        <w:tblInd w:w="0" w:type="dxa"/>
        <w:tblLayout w:type="fixed"/>
        <w:tblCellMar>
          <w:top w:w="28" w:type="dxa"/>
          <w:left w:w="28" w:type="dxa"/>
          <w:bottom w:w="28" w:type="dxa"/>
          <w:right w:w="28" w:type="dxa"/>
        </w:tblCellMar>
      </w:tblPr>
      <w:tblGrid>
        <w:gridCol w:w="422"/>
        <w:gridCol w:w="371"/>
        <w:gridCol w:w="372"/>
        <w:gridCol w:w="2787"/>
        <w:gridCol w:w="2583"/>
        <w:gridCol w:w="3670"/>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4"/>
                  <w:u w:val="single"/>
                </w:rPr>
                <w:t>Exhibit 3.1</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4"/>
                  <w:u w:val="single"/>
                </w:rPr>
                <w:t>Amended and Restated Articles of Incorporation of PepsiCo, Inc., effective as of May 1, 2019, which are incorporated herein by reference to Exhibit 3.1 to PepsiCo, Inc.’s Current Report on Form 8-K filed with the Securities and Exchange Commission on May 3, 2019.</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4"/>
                  <w:u w:val="single"/>
                </w:rPr>
                <w:t>Exhibit 3.2</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4"/>
                  <w:u w:val="single"/>
                </w:rPr>
                <w:t>By-Laws of PepsiCo, Inc., as amended and restated, effective as of September 20, 2024, which are incorporated herein by reference to Exhibit 3.2 to PepsiCo, Inc.’s Current Report on Form 8-K filed with the Securities and Exchange Commission on September 20, 2024.</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q32026.htm">
              <w:r>
                <w:rPr>
                  <w:rStyle w:val="InternetLink"/>
                  <w:rFonts w:ascii="Times New Roman;serif" w:hAnsi="Times New Roman;serif"/>
                  <w:b w:val="false"/>
                  <w:color w:val="0000FF"/>
                  <w:sz w:val="24"/>
                  <w:u w:val="single"/>
                </w:rPr>
                <w:t>Exhibit 15</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5-q32026.htm">
              <w:r>
                <w:rPr>
                  <w:rStyle w:val="InternetLink"/>
                  <w:rFonts w:ascii="Times New Roman;serif" w:hAnsi="Times New Roman;serif"/>
                  <w:b w:val="false"/>
                  <w:color w:val="0000FF"/>
                  <w:sz w:val="24"/>
                  <w:u w:val="single"/>
                </w:rPr>
                <w:t>Letter re: Unaudited Interim Financial Information.</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q32026.htm">
              <w:r>
                <w:rPr>
                  <w:rStyle w:val="InternetLink"/>
                  <w:rFonts w:ascii="Times New Roman;serif" w:hAnsi="Times New Roman;serif"/>
                  <w:b w:val="false"/>
                  <w:color w:val="0000FF"/>
                  <w:sz w:val="24"/>
                  <w:u w:val="single"/>
                </w:rPr>
                <w:t>Exhibit 22</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q32026.htm">
              <w:r>
                <w:rPr>
                  <w:rStyle w:val="InternetLink"/>
                  <w:rFonts w:ascii="Times New Roman;serif" w:hAnsi="Times New Roman;serif"/>
                  <w:b w:val="false"/>
                  <w:color w:val="0000FF"/>
                  <w:sz w:val="24"/>
                  <w:u w:val="single"/>
                </w:rPr>
                <w:t>Subsidiary Issuer of Guaranteed Securities.</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q32026.htm">
              <w:r>
                <w:rPr>
                  <w:rStyle w:val="InternetLink"/>
                  <w:rFonts w:ascii="Times New Roman;serif" w:hAnsi="Times New Roman;serif"/>
                  <w:b w:val="false"/>
                  <w:color w:val="0000FF"/>
                  <w:sz w:val="24"/>
                  <w:u w:val="single"/>
                </w:rPr>
                <w:t>Exhibit 31</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q32026.htm">
              <w:r>
                <w:rPr>
                  <w:rStyle w:val="InternetLink"/>
                  <w:rFonts w:ascii="Times New Roman;serif" w:hAnsi="Times New Roman;serif"/>
                  <w:b w:val="false"/>
                  <w:color w:val="0000FF"/>
                  <w:sz w:val="24"/>
                  <w:u w:val="single"/>
                </w:rPr>
                <w:t>Certifications of Chief Executive Officer and Chief Financial Officer pursuant to Section 302 of the Sarbanes-Oxley Act of 2002.</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q32026.htm">
              <w:r>
                <w:rPr>
                  <w:rStyle w:val="InternetLink"/>
                  <w:rFonts w:ascii="Times New Roman;serif" w:hAnsi="Times New Roman;serif"/>
                  <w:b w:val="false"/>
                  <w:color w:val="0000FF"/>
                  <w:sz w:val="24"/>
                  <w:u w:val="single"/>
                </w:rPr>
                <w:t>Exhibit 32</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q32026.htm">
              <w:r>
                <w:rPr>
                  <w:rStyle w:val="InternetLink"/>
                  <w:rFonts w:ascii="Times New Roman;serif" w:hAnsi="Times New Roman;serif"/>
                  <w:b w:val="false"/>
                  <w:color w:val="0000FF"/>
                  <w:sz w:val="24"/>
                  <w:u w:val="single"/>
                </w:rPr>
                <w:t>Certifications of Chief Executive Officer and Chief Financial Officer pursuant to Section 906 of the Sarbanes-Oxley Act of 2002.</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101</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following materials from PepsiCo, Inc.’s Quarterly Report on Form 10-Q for the quarter ended September 5, 2026 formatted in iXBRL (Inline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Equity, and (vi) Notes to the Condensed Consolidated Financial Statements.</w:t>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Exhibit 104</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cover page from the Company’s Quarterly Report on Form 10-Q for the quarter ended September 5, 2026, formatted in iXBRL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120"/>
        <w:jc w:val="left"/>
        <w:rPr/>
      </w:pPr>
      <w:hyperlink w:anchor="i412bf32460d148378ad529c1f89c29a3_10">
        <w:r>
          <w:rPr>
            <w:rStyle w:val="InternetLink"/>
            <w:rFonts w:ascii="Times New Roman;serif" w:hAnsi="Times New Roman;serif"/>
            <w:b w:val="false"/>
            <w:color w:val="0000FF"/>
            <w:sz w:val="20"/>
            <w:u w:val="single"/>
          </w:rPr>
          <w:t>Table of Contents</w:t>
        </w:r>
      </w:hyperlink>
      <w:r>
        <w:rPr>
          <w:color w:val="000000"/>
        </w:rPr>
        <w:t>    </w:t>
      </w:r>
    </w:p>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120"/>
        <w:jc w:val="left"/>
        <w:rPr>
          <w:color w:val="000000"/>
        </w:rPr>
      </w:pPr>
      <w:r>
        <w:rPr>
          <w:color w:val="000000"/>
        </w:rPr>
        <w:t> </w:t>
      </w:r>
    </w:p>
    <w:tbl>
      <w:tblPr>
        <w:tblW w:w="9205" w:type="dxa"/>
        <w:jc w:val="left"/>
        <w:tblInd w:w="0" w:type="dxa"/>
        <w:tblLayout w:type="fixed"/>
        <w:tblCellMar>
          <w:top w:w="28" w:type="dxa"/>
          <w:left w:w="28" w:type="dxa"/>
          <w:bottom w:w="28" w:type="dxa"/>
          <w:right w:w="28" w:type="dxa"/>
        </w:tblCellMar>
      </w:tblPr>
      <w:tblGrid>
        <w:gridCol w:w="228"/>
        <w:gridCol w:w="200"/>
        <w:gridCol w:w="202"/>
        <w:gridCol w:w="549"/>
        <w:gridCol w:w="549"/>
        <w:gridCol w:w="551"/>
        <w:gridCol w:w="2183"/>
        <w:gridCol w:w="2183"/>
        <w:gridCol w:w="2188"/>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        </w:t>
            </w:r>
            <w:r>
              <w:rPr>
                <w:color w:val="000000"/>
                <w:u w:val="single"/>
              </w:rPr>
              <w:t>    </w:t>
            </w:r>
            <w:r>
              <w:rPr>
                <w:rFonts w:ascii="Times New Roman;serif" w:hAnsi="Times New Roman;serif"/>
                <w:b w:val="false"/>
                <w:color w:val="000000"/>
                <w:sz w:val="24"/>
                <w:u w:val="single"/>
              </w:rPr>
              <w:t>PepsiCo,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October 7, 2026</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Christine E. Tammara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Christine E. Tammara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October 7, 2026</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David Flavell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David Flavell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General Counsel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(Duly 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18"/>
        </w:rPr>
      </w:pPr>
      <w:r>
        <w:rPr>
          <w:rFonts w:ascii="Times New Roman;serif" w:hAnsi="Times New Roman;serif"/>
          <w:b/>
          <w:color w:val="000000"/>
          <w:sz w:val="18"/>
        </w:rPr>
        <w:t>Accountant’s Acknowledgement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the Shareholders and Board of Directors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PepsiCo,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hereby acknowledge our awareness of the use of our report dated October 7, 2026 included within the Quarterly Report on Form 10-Q of PepsiCo, Inc. for the twelve and thirty-six weeks ended September 5, 2026, and incorporated by reference in the following Registration Statements and in the related Prospectuses: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u w:val="single"/>
        </w:rPr>
      </w:pPr>
      <w:r>
        <w:rPr>
          <w:rFonts w:ascii="Times New Roman;serif" w:hAnsi="Times New Roman;serif"/>
          <w:b/>
          <w:color w:val="000000"/>
          <w:sz w:val="18"/>
          <w:u w:val="single"/>
        </w:rPr>
        <w:t>Description, Registration Statement Number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Form S-3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Automatic Shelf Registration Statement, 333-277003</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18"/>
        </w:rPr>
        <w:t>PepsiAmericas, Inc. 2000 Stock Incentive Plan, 333-165176</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18"/>
        </w:rPr>
        <w:t>PBG 2004 Long Term Incentive Plan, PBG 2002 Long Term Incentive Plan, PBG Long Term Incentive Plan, The Pepsi Bottling Group, Inc. 1999 Long Term Incentive Plan and PBG Stock Incentive Plan, 333-165177</w:t>
      </w:r>
    </w:p>
    <w:p>
      <w:pPr>
        <w:pStyle w:val="TextBody"/>
        <w:bidi w:val="0"/>
        <w:spacing w:lineRule="auto" w:line="417" w:before="12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Form S-8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PepsiCo Savings Plan, 333-76204, 333-76196, 333-150867 and 333-150868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2007 Long-Term Incentive Plan, 333-142811, 333-166740 and 333-279335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2003 Long-Term Incentive Plan, 333-109509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SharePower Stock Option Plan, 33-29037, 33-35602, 33-42058, 33-51496, 33-54731, 33-66150 and 333-109513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Director Stock Plan, 33-22970 and 333-110030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1979 Incentive Plan and the 1987 Incentive Plan, 33-19539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1994 Long-Term Incentive Plan, 33-54733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1995 Stock Option Incentive Plan, 33-61731, 333-09363 and 333-109514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1979 Incentive Plan, 2-65410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Inc. Long Term Savings Program, 2-82645, 33-51514 and 33-60965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PepsiCo 401(k) Plan, 333-89265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Retirement Savings and Investment Plan for Union Employees of Tropicana Products, Inc. and Affiliates (Teamster Local Union #173) and the Retirement Savings and Investment Plan for Union Employees of Tropicana Products, Inc. and Affiliates, 333-65992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Quaker Long Term Incentive Plan of 1990, The Quaker Long Term Incentive Plan of 1999 and The Quaker Oats Company Stock Option Plan for Outside Directors, 333-66632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Quaker 401(k) Plan for Salaried Employees and The Quaker 401(k) Plan for Hourly Employees, 333-66634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PepsiCo Share Award Plan, 333-87526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PBG 401(k) Savings Program, PBG 401(k) Program, PepsiAmericas, Inc. Salaried 401(k) Plan and PepsiAmericas, Inc. Hourly 401(k) Plan, 333-165106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PBG 2004 Long Term Incentive Plan, PBG 2002 Long Term Incentive Plan, PBG Long Term Incentive Plan, The Pepsi Bottling Group, Inc. 1999 Long Term Incentive Plan, PBG Directors’ Stock Plan, PBG Stock Incentive Plan and PepsiAmericas, Inc. 2000 Stock Incentive Plan, 333-165107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 KPMG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New York, New York</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October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22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120" w:after="120"/>
        <w:jc w:val="center"/>
        <w:rPr>
          <w:rFonts w:ascii="Times New Roman;serif" w:hAnsi="Times New Roman;serif"/>
          <w:b/>
          <w:color w:val="000000"/>
          <w:sz w:val="24"/>
        </w:rPr>
      </w:pPr>
      <w:r>
        <w:rPr>
          <w:rFonts w:ascii="Times New Roman;serif" w:hAnsi="Times New Roman;serif"/>
          <w:b/>
          <w:color w:val="000000"/>
          <w:sz w:val="24"/>
        </w:rPr>
        <w:t>Subsidiary Issuer of Guaranteed Securities</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September 5, 2026, PepsiCo, Inc. fully and unconditionally guaranteed on a senior unsecured basis the following unsecured registered notes issued by PepsiCo Singapore Financing I Pte. Ltd., PepsiCo Inc.’s wholly-owned consolidated finance subsidiary incorporated as a private company limited by shares in the Republic of Singapore:</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1.Floating Rate Notes due 2027</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2.4.650% Senior Notes due 2027</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3.4.550% Senior Notes due 2029</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4.4.700% Senior Notes due 2034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31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CERTIFICATION </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color w:val="000000"/>
          <w:sz w:val="20"/>
        </w:rPr>
        <w:t xml:space="preserve">Ramon L. Laguarta, </w:t>
      </w:r>
      <w:r>
        <w:rPr>
          <w:rFonts w:ascii="Times New Roman;serif" w:hAnsi="Times New Roman;serif"/>
          <w:b w:val="false"/>
          <w:color w:val="000000"/>
          <w:sz w:val="20"/>
        </w:rPr>
        <w:t xml:space="preserve">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PepsiCo,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5235" w:type="dxa"/>
        <w:jc w:val="center"/>
        <w:tblInd w:w="0" w:type="dxa"/>
        <w:tblLayout w:type="fixed"/>
        <w:tblCellMar>
          <w:top w:w="28" w:type="dxa"/>
          <w:left w:w="28" w:type="dxa"/>
          <w:bottom w:w="28" w:type="dxa"/>
          <w:right w:w="28" w:type="dxa"/>
        </w:tblCellMar>
      </w:tblPr>
      <w:tblGrid>
        <w:gridCol w:w="689"/>
        <w:gridCol w:w="606"/>
        <w:gridCol w:w="610"/>
        <w:gridCol w:w="975"/>
        <w:gridCol w:w="975"/>
        <w:gridCol w:w="1380"/>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Ramon L. Laguarta</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 L. Laguarta</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color w:val="000000"/>
          <w:sz w:val="22"/>
        </w:rPr>
        <w:t>Stephen T. Schmitt</w:t>
      </w:r>
      <w:r>
        <w:rPr>
          <w:rFonts w:ascii="Times New Roman;serif" w:hAnsi="Times New Roman;serif"/>
          <w:b/>
          <w:color w:val="000000"/>
          <w:sz w:val="20"/>
        </w:rPr>
        <w:t xml:space="preserve">, </w:t>
      </w:r>
      <w:r>
        <w:rPr>
          <w:rFonts w:ascii="Times New Roman;serif" w:hAnsi="Times New Roman;serif"/>
          <w:b w:val="false"/>
          <w:color w:val="000000"/>
          <w:sz w:val="20"/>
        </w:rPr>
        <w:t xml:space="preserve">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PepsiCo,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tbl>
      <w:tblPr>
        <w:tblW w:w="3915" w:type="dxa"/>
        <w:jc w:val="center"/>
        <w:tblInd w:w="0" w:type="dxa"/>
        <w:tblLayout w:type="fixed"/>
        <w:tblCellMar>
          <w:top w:w="28" w:type="dxa"/>
          <w:left w:w="28" w:type="dxa"/>
          <w:bottom w:w="28" w:type="dxa"/>
          <w:right w:w="28" w:type="dxa"/>
        </w:tblCellMar>
      </w:tblPr>
      <w:tblGrid>
        <w:gridCol w:w="689"/>
        <w:gridCol w:w="606"/>
        <w:gridCol w:w="610"/>
        <w:gridCol w:w="587"/>
        <w:gridCol w:w="587"/>
        <w:gridCol w:w="83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T. Schmitt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T. Schmitt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PepsiCo, Inc. (the “Corporation”) on Form 10-Q for the quarterly period ended September 5, 2026 as filed with the Securities and Exchange Commission on the date hereof (the “Report”), I, Ramon L. Laguarta, Chairman of the Board of Directors and Chief Executive Officer of the Corporation, certify to my knowledge, pursuant to Section 906 of the Sarbanes-Oxley Act of 2002 (18 U.S.C. Section 1350),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jc w:val="left"/>
        <w:rPr/>
      </w:pPr>
      <w:r>
        <w:rPr/>
      </w:r>
    </w:p>
    <w:tbl>
      <w:tblPr>
        <w:tblW w:w="5235" w:type="dxa"/>
        <w:jc w:val="center"/>
        <w:tblInd w:w="0" w:type="dxa"/>
        <w:tblLayout w:type="fixed"/>
        <w:tblCellMar>
          <w:top w:w="28" w:type="dxa"/>
          <w:left w:w="28" w:type="dxa"/>
          <w:bottom w:w="28" w:type="dxa"/>
          <w:right w:w="28" w:type="dxa"/>
        </w:tblCellMar>
      </w:tblPr>
      <w:tblGrid>
        <w:gridCol w:w="689"/>
        <w:gridCol w:w="606"/>
        <w:gridCol w:w="610"/>
        <w:gridCol w:w="975"/>
        <w:gridCol w:w="975"/>
        <w:gridCol w:w="1380"/>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Ramon L. Laguarta</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 L. Laguarta</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 and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PepsiCo, Inc. (the “Corporation”) on Form 10-Q for the quarterly period ended September 5, 2026 as filed with the Securities and Exchange Commission on the date hereof (the “Report”), I, Stephen T. Schmitt, Chief Financial Officer of the Corporation, certify to my knowledge, pursuant to Section 906 of the Sarbanes-Oxley Act of 2002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jc w:val="left"/>
        <w:rPr/>
      </w:pPr>
      <w:r>
        <w:rPr/>
      </w:r>
    </w:p>
    <w:tbl>
      <w:tblPr>
        <w:tblW w:w="3915" w:type="dxa"/>
        <w:jc w:val="center"/>
        <w:tblInd w:w="0" w:type="dxa"/>
        <w:tblLayout w:type="fixed"/>
        <w:tblCellMar>
          <w:top w:w="28" w:type="dxa"/>
          <w:left w:w="28" w:type="dxa"/>
          <w:bottom w:w="28" w:type="dxa"/>
          <w:right w:w="28" w:type="dxa"/>
        </w:tblCellMar>
      </w:tblPr>
      <w:tblGrid>
        <w:gridCol w:w="689"/>
        <w:gridCol w:w="606"/>
        <w:gridCol w:w="610"/>
        <w:gridCol w:w="587"/>
        <w:gridCol w:w="587"/>
        <w:gridCol w:w="83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7, 2026</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T. Schmitt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T. Schmitt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7476/000007747619000046/exhibit31articlesofinc.htm" TargetMode="External"/><Relationship Id="rId4" Type="http://schemas.openxmlformats.org/officeDocument/2006/relationships/hyperlink" Target="https://www.sec.gov/Archives/edgar/data/77476/000007747619000046/exhibit31articlesofinc.htm" TargetMode="External"/><Relationship Id="rId5" Type="http://schemas.openxmlformats.org/officeDocument/2006/relationships/hyperlink" Target="https://www.sec.gov/Archives/edgar/data/77476/000007747624000046/pepsico-ex32xseptember2020.htm" TargetMode="External"/><Relationship Id="rId6" Type="http://schemas.openxmlformats.org/officeDocument/2006/relationships/hyperlink" Target="https://www.sec.gov/Archives/edgar/data/77476/000007747624000046/pepsico-ex32xseptember2020.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24111</Words>
  <Characters>133036</Characters>
  <CharactersWithSpaces>154871</CharactersWithSpaces>
  <Paragraphs>4695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