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right"/>
        <w:rPr>
          <w:rFonts w:ascii="Times New Roman;Times;Serif" w:hAnsi="Times New Roman;Times;Serif"/>
          <w:b w:val="false"/>
          <w:i w:val="false"/>
          <w:caps w:val="false"/>
          <w:smallCaps w:val="false"/>
          <w:sz w:val="20"/>
        </w:rPr>
      </w:pPr>
      <w:bookmarkStart w:id="0" w:name="tm2626837d3_fwp.htm"/>
      <w:bookmarkStart w:id="1" w:name="kstm2626837d3_fwp"/>
      <w:bookmarkEnd w:id="0"/>
      <w:bookmarkEnd w:id="1"/>
      <w:r>
        <w:rPr>
          <w:rFonts w:ascii="Times New Roman;Times;Serif" w:hAnsi="Times New Roman;Times;Serif"/>
          <w:b w:val="false"/>
          <w:i w:val="false"/>
          <w:caps w:val="false"/>
          <w:smallCaps w:val="false"/>
          <w:sz w:val="20"/>
        </w:rPr>
        <w:t>Issuer Free Writing Prospectus</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Pursuant to Rule 433</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Statement No. 333-277003</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PepsiCo,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3.750% Senior Notes due 2029</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4.250% Senior Notes due 2035</w:t>
      </w:r>
    </w:p>
    <w:p>
      <w:pPr>
        <w:pStyle w:val="TextBody"/>
        <w:bidi w:val="0"/>
        <w:spacing w:before="0" w:after="283"/>
        <w:jc w:val="left"/>
        <w:rPr/>
      </w:pPr>
      <w:r>
        <w:rPr/>
        <w:t> </w:t>
      </w:r>
    </w:p>
    <w:tbl>
      <w:tblPr>
        <w:tblW w:w="10205" w:type="dxa"/>
        <w:jc w:val="left"/>
        <w:tblInd w:w="-10" w:type="dxa"/>
        <w:tblLayout w:type="fixed"/>
        <w:tblCellMar>
          <w:top w:w="80" w:type="dxa"/>
          <w:left w:w="120" w:type="dxa"/>
          <w:bottom w:w="80" w:type="dxa"/>
          <w:right w:w="0" w:type="dxa"/>
        </w:tblCellMar>
      </w:tblPr>
      <w:tblGrid>
        <w:gridCol w:w="1514"/>
        <w:gridCol w:w="4530"/>
        <w:gridCol w:w="4161"/>
      </w:tblGrid>
      <w:tr>
        <w:trPr/>
        <w:tc>
          <w:tcPr>
            <w:tcW w:w="1514"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Issuer:</w:t>
            </w:r>
          </w:p>
        </w:tc>
        <w:tc>
          <w:tcPr>
            <w:tcW w:w="8691" w:type="dxa"/>
            <w:gridSpan w:val="2"/>
            <w:tcBorders>
              <w:top w:val="single" w:sz="8" w:space="0" w:color="000000"/>
              <w:left w:val="single" w:sz="8" w:space="0" w:color="000000"/>
              <w:bottom w:val="single" w:sz="8" w:space="0" w:color="000000"/>
              <w:right w:val="single" w:sz="8" w:space="0" w:color="000000"/>
            </w:tcBorders>
            <w:tcMar>
              <w:right w:w="12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PepsiCo, Inc.</w:t>
            </w:r>
          </w:p>
        </w:tc>
      </w:tr>
      <w:tr>
        <w:trPr/>
        <w:tc>
          <w:tcPr>
            <w:tcW w:w="1514" w:type="dxa"/>
            <w:tcBorders>
              <w:left w:val="single" w:sz="8" w:space="0" w:color="000000"/>
              <w:bottom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Ratings (S&amp;P/Moody’s):</w:t>
            </w:r>
          </w:p>
        </w:tc>
        <w:tc>
          <w:tcPr>
            <w:tcW w:w="8691" w:type="dxa"/>
            <w:gridSpan w:val="2"/>
            <w:tcBorders>
              <w:left w:val="single" w:sz="8" w:space="0" w:color="000000"/>
              <w:bottom w:val="single" w:sz="8" w:space="0" w:color="000000"/>
              <w:right w:val="single" w:sz="8" w:space="0" w:color="000000"/>
            </w:tcBorders>
            <w:tcMar>
              <w:top w:w="0" w:type="dxa"/>
              <w:right w:w="12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 / A1 (Stable Outlook / Stable Outlook)</w:t>
            </w:r>
          </w:p>
        </w:tc>
      </w:tr>
      <w:tr>
        <w:trPr/>
        <w:tc>
          <w:tcPr>
            <w:tcW w:w="1514" w:type="dxa"/>
            <w:tcBorders>
              <w:left w:val="single" w:sz="8" w:space="0" w:color="000000"/>
              <w:bottom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Trade Date:</w:t>
            </w:r>
          </w:p>
        </w:tc>
        <w:tc>
          <w:tcPr>
            <w:tcW w:w="8691" w:type="dxa"/>
            <w:gridSpan w:val="2"/>
            <w:tcBorders>
              <w:left w:val="single" w:sz="8" w:space="0" w:color="000000"/>
              <w:bottom w:val="single" w:sz="8" w:space="0" w:color="000000"/>
              <w:right w:val="single" w:sz="8" w:space="0" w:color="000000"/>
            </w:tcBorders>
            <w:tcMar>
              <w:top w:w="0" w:type="dxa"/>
              <w:right w:w="12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October 9, 2026</w:t>
            </w:r>
          </w:p>
        </w:tc>
      </w:tr>
      <w:tr>
        <w:trPr/>
        <w:tc>
          <w:tcPr>
            <w:tcW w:w="1514" w:type="dxa"/>
            <w:tcBorders>
              <w:left w:val="single" w:sz="8" w:space="0" w:color="000000"/>
              <w:bottom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Settlement Date (T+4):</w:t>
            </w:r>
          </w:p>
        </w:tc>
        <w:tc>
          <w:tcPr>
            <w:tcW w:w="8691" w:type="dxa"/>
            <w:gridSpan w:val="2"/>
            <w:tcBorders>
              <w:left w:val="single" w:sz="8" w:space="0" w:color="000000"/>
              <w:bottom w:val="single" w:sz="8" w:space="0" w:color="000000"/>
              <w:right w:val="single" w:sz="8" w:space="0" w:color="000000"/>
            </w:tcBorders>
            <w:tcMar>
              <w:top w:w="0" w:type="dxa"/>
              <w:right w:w="12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October 16, 2026</w:t>
            </w:r>
          </w:p>
        </w:tc>
      </w:tr>
      <w:tr>
        <w:trPr/>
        <w:tc>
          <w:tcPr>
            <w:tcW w:w="1514" w:type="dxa"/>
            <w:tcBorders>
              <w:left w:val="single" w:sz="8" w:space="0" w:color="000000"/>
              <w:bottom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of Securities:</w:t>
            </w:r>
          </w:p>
        </w:tc>
        <w:tc>
          <w:tcPr>
            <w:tcW w:w="4530" w:type="dxa"/>
            <w:tcBorders>
              <w:left w:val="single" w:sz="8" w:space="0" w:color="000000"/>
              <w:bottom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3.750% Senior Notes due 2029</w:t>
            </w:r>
          </w:p>
        </w:tc>
        <w:tc>
          <w:tcPr>
            <w:tcW w:w="4161" w:type="dxa"/>
            <w:tcBorders>
              <w:left w:val="single" w:sz="8" w:space="0" w:color="000000"/>
              <w:bottom w:val="single" w:sz="8" w:space="0" w:color="000000"/>
              <w:right w:val="single" w:sz="8" w:space="0" w:color="000000"/>
            </w:tcBorders>
            <w:tcMar>
              <w:top w:w="0" w:type="dxa"/>
              <w:right w:w="12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4.250% Senior Notes due 2035</w:t>
            </w:r>
          </w:p>
        </w:tc>
      </w:tr>
      <w:tr>
        <w:trPr/>
        <w:tc>
          <w:tcPr>
            <w:tcW w:w="1514" w:type="dxa"/>
            <w:tcBorders>
              <w:left w:val="single" w:sz="8" w:space="0" w:color="000000"/>
              <w:bottom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Aggregate Principal Amount Offered:</w:t>
            </w:r>
          </w:p>
        </w:tc>
        <w:tc>
          <w:tcPr>
            <w:tcW w:w="4530"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w:t>
            </w:r>
            <w:r>
              <w:rPr>
                <w:rFonts w:ascii="Times New Roman;Times;Serif" w:hAnsi="Times New Roman;Times;Serif"/>
                <w:sz w:val="20"/>
              </w:rPr>
              <w:t>500,000,000</w:t>
            </w:r>
          </w:p>
        </w:tc>
        <w:tc>
          <w:tcPr>
            <w:tcW w:w="4161" w:type="dxa"/>
            <w:tcBorders>
              <w:left w:val="single" w:sz="8" w:space="0" w:color="000000"/>
              <w:bottom w:val="single" w:sz="8" w:space="0" w:color="000000"/>
              <w:right w:val="single" w:sz="8" w:space="0" w:color="000000"/>
            </w:tcBorders>
            <w:tcMar>
              <w:top w:w="0" w:type="dxa"/>
              <w:right w:w="120" w:type="dxa"/>
            </w:tcMar>
            <w:vAlign w:val="center"/>
          </w:tcPr>
          <w:p>
            <w:pPr>
              <w:pStyle w:val="TableContents"/>
              <w:bidi w:val="0"/>
              <w:spacing w:before="0" w:after="283"/>
              <w:jc w:val="left"/>
              <w:rPr/>
            </w:pPr>
            <w:r>
              <w:rPr/>
              <w:t>€</w:t>
            </w:r>
            <w:r>
              <w:rPr>
                <w:rFonts w:ascii="Times New Roman;Times;Serif" w:hAnsi="Times New Roman;Times;Serif"/>
                <w:sz w:val="20"/>
              </w:rPr>
              <w:t>500,000,000</w:t>
            </w:r>
          </w:p>
        </w:tc>
      </w:tr>
      <w:tr>
        <w:trPr/>
        <w:tc>
          <w:tcPr>
            <w:tcW w:w="1514" w:type="dxa"/>
            <w:tcBorders>
              <w:left w:val="single" w:sz="8" w:space="0" w:color="000000"/>
              <w:bottom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Maturity Date:</w:t>
            </w:r>
          </w:p>
        </w:tc>
        <w:tc>
          <w:tcPr>
            <w:tcW w:w="4530" w:type="dxa"/>
            <w:tcBorders>
              <w:left w:val="single" w:sz="8" w:space="0" w:color="000000"/>
              <w:bottom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October 16, 2029</w:t>
            </w:r>
          </w:p>
        </w:tc>
        <w:tc>
          <w:tcPr>
            <w:tcW w:w="4161" w:type="dxa"/>
            <w:tcBorders>
              <w:left w:val="single" w:sz="8" w:space="0" w:color="000000"/>
              <w:bottom w:val="single" w:sz="8" w:space="0" w:color="000000"/>
              <w:right w:val="single" w:sz="8" w:space="0" w:color="000000"/>
            </w:tcBorders>
            <w:tcMar>
              <w:top w:w="0" w:type="dxa"/>
              <w:right w:w="12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October 16, 2035</w:t>
            </w:r>
          </w:p>
        </w:tc>
      </w:tr>
      <w:tr>
        <w:trPr/>
        <w:tc>
          <w:tcPr>
            <w:tcW w:w="1514" w:type="dxa"/>
            <w:tcBorders>
              <w:left w:val="single" w:sz="8" w:space="0" w:color="000000"/>
              <w:bottom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Payment Dates:</w:t>
            </w:r>
          </w:p>
        </w:tc>
        <w:tc>
          <w:tcPr>
            <w:tcW w:w="4530" w:type="dxa"/>
            <w:tcBorders>
              <w:left w:val="single" w:sz="8" w:space="0" w:color="000000"/>
              <w:bottom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Annually in arrears on each October 16, commencing October 16, 2027</w:t>
            </w:r>
          </w:p>
        </w:tc>
        <w:tc>
          <w:tcPr>
            <w:tcW w:w="4161" w:type="dxa"/>
            <w:tcBorders>
              <w:left w:val="single" w:sz="8" w:space="0" w:color="000000"/>
              <w:bottom w:val="single" w:sz="8" w:space="0" w:color="000000"/>
              <w:right w:val="single" w:sz="8" w:space="0" w:color="000000"/>
            </w:tcBorders>
            <w:tcMar>
              <w:top w:w="0" w:type="dxa"/>
              <w:right w:w="12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Annually in arrears on each October 16, commencing October 16, 2027</w:t>
            </w:r>
          </w:p>
        </w:tc>
      </w:tr>
      <w:tr>
        <w:trPr/>
        <w:tc>
          <w:tcPr>
            <w:tcW w:w="1514" w:type="dxa"/>
            <w:tcBorders>
              <w:left w:val="single" w:sz="8" w:space="0" w:color="000000"/>
              <w:bottom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Benchmark Bund:</w:t>
            </w:r>
          </w:p>
        </w:tc>
        <w:tc>
          <w:tcPr>
            <w:tcW w:w="4530" w:type="dxa"/>
            <w:tcBorders>
              <w:left w:val="single" w:sz="8" w:space="0" w:color="000000"/>
              <w:bottom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DBR 0.000% due August 15, 2029</w:t>
            </w:r>
          </w:p>
        </w:tc>
        <w:tc>
          <w:tcPr>
            <w:tcW w:w="4161" w:type="dxa"/>
            <w:tcBorders>
              <w:left w:val="single" w:sz="8" w:space="0" w:color="000000"/>
              <w:bottom w:val="single" w:sz="8" w:space="0" w:color="000000"/>
              <w:right w:val="single" w:sz="8" w:space="0" w:color="000000"/>
            </w:tcBorders>
            <w:tcMar>
              <w:top w:w="0" w:type="dxa"/>
              <w:right w:w="12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DBR 2.600% due August 15, 2035</w:t>
            </w:r>
          </w:p>
        </w:tc>
      </w:tr>
      <w:tr>
        <w:trPr/>
        <w:tc>
          <w:tcPr>
            <w:tcW w:w="1514" w:type="dxa"/>
            <w:tcBorders>
              <w:left w:val="single" w:sz="8" w:space="0" w:color="000000"/>
              <w:bottom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Benchmark Bund Yield:</w:t>
            </w:r>
          </w:p>
        </w:tc>
        <w:tc>
          <w:tcPr>
            <w:tcW w:w="4530" w:type="dxa"/>
            <w:tcBorders>
              <w:left w:val="single" w:sz="8" w:space="0" w:color="000000"/>
              <w:bottom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3.122%</w:t>
            </w:r>
          </w:p>
        </w:tc>
        <w:tc>
          <w:tcPr>
            <w:tcW w:w="4161" w:type="dxa"/>
            <w:tcBorders>
              <w:left w:val="single" w:sz="8" w:space="0" w:color="000000"/>
              <w:bottom w:val="single" w:sz="8" w:space="0" w:color="000000"/>
              <w:right w:val="single" w:sz="8" w:space="0" w:color="000000"/>
            </w:tcBorders>
            <w:tcMar>
              <w:top w:w="0" w:type="dxa"/>
              <w:right w:w="12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3.432%</w:t>
            </w:r>
          </w:p>
        </w:tc>
      </w:tr>
      <w:tr>
        <w:trPr/>
        <w:tc>
          <w:tcPr>
            <w:tcW w:w="1514" w:type="dxa"/>
            <w:tcBorders>
              <w:left w:val="single" w:sz="8" w:space="0" w:color="000000"/>
              <w:bottom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Spread to Benchmark Bund:</w:t>
            </w:r>
          </w:p>
        </w:tc>
        <w:tc>
          <w:tcPr>
            <w:tcW w:w="4530" w:type="dxa"/>
            <w:tcBorders>
              <w:left w:val="single" w:sz="8" w:space="0" w:color="000000"/>
              <w:bottom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+64.5 basis points</w:t>
            </w:r>
          </w:p>
        </w:tc>
        <w:tc>
          <w:tcPr>
            <w:tcW w:w="4161" w:type="dxa"/>
            <w:tcBorders>
              <w:left w:val="single" w:sz="8" w:space="0" w:color="000000"/>
              <w:bottom w:val="single" w:sz="8" w:space="0" w:color="000000"/>
              <w:right w:val="single" w:sz="8" w:space="0" w:color="000000"/>
            </w:tcBorders>
            <w:tcMar>
              <w:top w:w="0" w:type="dxa"/>
              <w:right w:w="12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+84.2 basis points</w:t>
            </w:r>
          </w:p>
        </w:tc>
      </w:tr>
      <w:tr>
        <w:trPr/>
        <w:tc>
          <w:tcPr>
            <w:tcW w:w="1514" w:type="dxa"/>
            <w:tcBorders>
              <w:left w:val="single" w:sz="8" w:space="0" w:color="000000"/>
              <w:bottom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Mid-Swap Yield:</w:t>
            </w:r>
          </w:p>
        </w:tc>
        <w:tc>
          <w:tcPr>
            <w:tcW w:w="4530" w:type="dxa"/>
            <w:tcBorders>
              <w:left w:val="single" w:sz="8" w:space="0" w:color="000000"/>
              <w:bottom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3.437%</w:t>
            </w:r>
          </w:p>
        </w:tc>
        <w:tc>
          <w:tcPr>
            <w:tcW w:w="4161" w:type="dxa"/>
            <w:tcBorders>
              <w:left w:val="single" w:sz="8" w:space="0" w:color="000000"/>
              <w:bottom w:val="single" w:sz="8" w:space="0" w:color="000000"/>
              <w:right w:val="single" w:sz="8" w:space="0" w:color="000000"/>
            </w:tcBorders>
            <w:tcMar>
              <w:top w:w="0" w:type="dxa"/>
              <w:right w:w="12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3.544%</w:t>
            </w:r>
          </w:p>
        </w:tc>
      </w:tr>
      <w:tr>
        <w:trPr/>
        <w:tc>
          <w:tcPr>
            <w:tcW w:w="1514" w:type="dxa"/>
            <w:tcBorders>
              <w:left w:val="single" w:sz="8" w:space="0" w:color="000000"/>
              <w:bottom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Spread to Mid-Swap:</w:t>
            </w:r>
          </w:p>
        </w:tc>
        <w:tc>
          <w:tcPr>
            <w:tcW w:w="4530" w:type="dxa"/>
            <w:tcBorders>
              <w:left w:val="single" w:sz="8" w:space="0" w:color="000000"/>
              <w:bottom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+33 basis points</w:t>
            </w:r>
          </w:p>
        </w:tc>
        <w:tc>
          <w:tcPr>
            <w:tcW w:w="4161" w:type="dxa"/>
            <w:tcBorders>
              <w:left w:val="single" w:sz="8" w:space="0" w:color="000000"/>
              <w:bottom w:val="single" w:sz="8" w:space="0" w:color="000000"/>
              <w:right w:val="single" w:sz="8" w:space="0" w:color="000000"/>
            </w:tcBorders>
            <w:tcMar>
              <w:top w:w="0" w:type="dxa"/>
              <w:right w:w="12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+73 basis points</w:t>
            </w:r>
          </w:p>
        </w:tc>
      </w:tr>
      <w:tr>
        <w:trPr/>
        <w:tc>
          <w:tcPr>
            <w:tcW w:w="1514" w:type="dxa"/>
            <w:tcBorders>
              <w:left w:val="single" w:sz="8" w:space="0" w:color="000000"/>
              <w:bottom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Reoffer Yield:</w:t>
            </w:r>
          </w:p>
        </w:tc>
        <w:tc>
          <w:tcPr>
            <w:tcW w:w="4530" w:type="dxa"/>
            <w:tcBorders>
              <w:left w:val="single" w:sz="8" w:space="0" w:color="000000"/>
              <w:bottom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3.767%</w:t>
            </w:r>
          </w:p>
        </w:tc>
        <w:tc>
          <w:tcPr>
            <w:tcW w:w="4161" w:type="dxa"/>
            <w:tcBorders>
              <w:left w:val="single" w:sz="8" w:space="0" w:color="000000"/>
              <w:bottom w:val="single" w:sz="8" w:space="0" w:color="000000"/>
              <w:right w:val="single" w:sz="8" w:space="0" w:color="000000"/>
            </w:tcBorders>
            <w:tcMar>
              <w:top w:w="0" w:type="dxa"/>
              <w:right w:w="12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4.274%</w:t>
            </w:r>
          </w:p>
        </w:tc>
      </w:tr>
      <w:tr>
        <w:trPr/>
        <w:tc>
          <w:tcPr>
            <w:tcW w:w="1514" w:type="dxa"/>
            <w:tcBorders>
              <w:left w:val="single" w:sz="8" w:space="0" w:color="000000"/>
              <w:bottom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Coupon:</w:t>
            </w:r>
          </w:p>
        </w:tc>
        <w:tc>
          <w:tcPr>
            <w:tcW w:w="4530" w:type="dxa"/>
            <w:tcBorders>
              <w:left w:val="single" w:sz="8" w:space="0" w:color="000000"/>
              <w:bottom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3.750%</w:t>
            </w:r>
          </w:p>
        </w:tc>
        <w:tc>
          <w:tcPr>
            <w:tcW w:w="4161" w:type="dxa"/>
            <w:tcBorders>
              <w:left w:val="single" w:sz="8" w:space="0" w:color="000000"/>
              <w:bottom w:val="single" w:sz="8" w:space="0" w:color="000000"/>
              <w:right w:val="single" w:sz="8" w:space="0" w:color="000000"/>
            </w:tcBorders>
            <w:tcMar>
              <w:top w:w="0" w:type="dxa"/>
              <w:right w:w="12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4.250%</w:t>
            </w:r>
          </w:p>
        </w:tc>
      </w:tr>
      <w:tr>
        <w:trPr/>
        <w:tc>
          <w:tcPr>
            <w:tcW w:w="1514" w:type="dxa"/>
            <w:tcBorders>
              <w:left w:val="single" w:sz="8" w:space="0" w:color="000000"/>
              <w:bottom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Price to Public:</w:t>
            </w:r>
          </w:p>
        </w:tc>
        <w:tc>
          <w:tcPr>
            <w:tcW w:w="4530" w:type="dxa"/>
            <w:tcBorders>
              <w:left w:val="single" w:sz="8" w:space="0" w:color="000000"/>
              <w:bottom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99.953%</w:t>
            </w:r>
          </w:p>
        </w:tc>
        <w:tc>
          <w:tcPr>
            <w:tcW w:w="4161" w:type="dxa"/>
            <w:tcBorders>
              <w:left w:val="single" w:sz="8" w:space="0" w:color="000000"/>
              <w:bottom w:val="single" w:sz="8" w:space="0" w:color="000000"/>
              <w:right w:val="single" w:sz="8" w:space="0" w:color="000000"/>
            </w:tcBorders>
            <w:tcMar>
              <w:top w:w="0" w:type="dxa"/>
              <w:right w:w="12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99.824%</w:t>
            </w:r>
          </w:p>
        </w:tc>
      </w:tr>
      <w:tr>
        <w:trPr/>
        <w:tc>
          <w:tcPr>
            <w:tcW w:w="1514" w:type="dxa"/>
            <w:tcBorders>
              <w:left w:val="single" w:sz="8" w:space="0" w:color="000000"/>
              <w:bottom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Redemption for Tax Reasons:</w:t>
            </w:r>
          </w:p>
        </w:tc>
        <w:tc>
          <w:tcPr>
            <w:tcW w:w="8691" w:type="dxa"/>
            <w:gridSpan w:val="2"/>
            <w:tcBorders>
              <w:left w:val="single" w:sz="8" w:space="0" w:color="000000"/>
              <w:bottom w:val="single" w:sz="8" w:space="0" w:color="000000"/>
              <w:right w:val="single" w:sz="8" w:space="0" w:color="000000"/>
            </w:tcBorders>
            <w:tcMar>
              <w:top w:w="0" w:type="dxa"/>
              <w:right w:w="12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issuer may redeem all, but not less than all, of the notes in the event of certain changes in the tax laws of the United States (or any taxing authority in the United States). This redemption would be at a redemption price equal to 100% of the principal amount, together with accrued and unpaid interest on the notes to, but not including, the date fixed for redemption.</w:t>
            </w:r>
          </w:p>
        </w:tc>
      </w:tr>
      <w:tr>
        <w:trPr/>
        <w:tc>
          <w:tcPr>
            <w:tcW w:w="1514" w:type="dxa"/>
            <w:tcBorders>
              <w:left w:val="single" w:sz="8" w:space="0" w:color="000000"/>
              <w:bottom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Optional Redemption:</w:t>
            </w:r>
          </w:p>
        </w:tc>
        <w:tc>
          <w:tcPr>
            <w:tcW w:w="4530" w:type="dxa"/>
            <w:tcBorders>
              <w:left w:val="single" w:sz="8" w:space="0" w:color="000000"/>
              <w:bottom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Prior to September 16, 2029, make-whole call at comparable government bond rate plus 10 basis points; par call at any time on or after September 16, 2029.</w:t>
            </w:r>
          </w:p>
        </w:tc>
        <w:tc>
          <w:tcPr>
            <w:tcW w:w="4161" w:type="dxa"/>
            <w:tcBorders>
              <w:left w:val="single" w:sz="8" w:space="0" w:color="000000"/>
              <w:bottom w:val="single" w:sz="8" w:space="0" w:color="000000"/>
              <w:right w:val="single" w:sz="8" w:space="0" w:color="000000"/>
            </w:tcBorders>
            <w:tcMar>
              <w:top w:w="0" w:type="dxa"/>
              <w:right w:w="12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Prior to July 16, 2035, make-whole call at comparable government bond rate plus 15 basis points; par call at any time on or after July 16, 2035.</w:t>
            </w:r>
          </w:p>
        </w:tc>
      </w:tr>
    </w:tbl>
    <w:p>
      <w:pPr>
        <w:pStyle w:val="TextBody"/>
        <w:bidi w:val="0"/>
        <w:spacing w:before="0" w:after="283"/>
        <w:jc w:val="left"/>
        <w:rPr/>
      </w:pPr>
      <w:r>
        <w:rPr/>
        <w:t> </w:t>
      </w:r>
    </w:p>
    <w:p>
      <w:pPr>
        <w:pStyle w:val="TextBody"/>
        <w:bidi w:val="0"/>
        <w:ind w:left="0" w:right="0" w:hanging="0"/>
        <w:jc w:val="left"/>
        <w:rPr/>
      </w:pPr>
      <w:r>
        <w:rPr/>
        <w:t> </w:t>
      </w:r>
    </w:p>
    <w:tbl>
      <w:tblPr>
        <w:tblW w:w="10205" w:type="dxa"/>
        <w:jc w:val="left"/>
        <w:tblInd w:w="-10" w:type="dxa"/>
        <w:tblLayout w:type="fixed"/>
        <w:tblCellMar>
          <w:top w:w="80" w:type="dxa"/>
          <w:left w:w="120" w:type="dxa"/>
          <w:bottom w:w="80" w:type="dxa"/>
          <w:right w:w="0" w:type="dxa"/>
        </w:tblCellMar>
      </w:tblPr>
      <w:tblGrid>
        <w:gridCol w:w="1528"/>
        <w:gridCol w:w="4318"/>
        <w:gridCol w:w="4359"/>
      </w:tblGrid>
      <w:tr>
        <w:trPr/>
        <w:tc>
          <w:tcPr>
            <w:tcW w:w="1528"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Proceeds to PepsiCo (Before Expenses):</w:t>
            </w:r>
          </w:p>
        </w:tc>
        <w:tc>
          <w:tcPr>
            <w:tcW w:w="4318"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pPr>
            <w:r>
              <w:rPr/>
              <w:t>€</w:t>
            </w:r>
            <w:r>
              <w:rPr>
                <w:rFonts w:ascii="Times New Roman;Times;Serif" w:hAnsi="Times New Roman;Times;Serif"/>
                <w:sz w:val="20"/>
              </w:rPr>
              <w:t>498,640,000</w:t>
            </w:r>
          </w:p>
        </w:tc>
        <w:tc>
          <w:tcPr>
            <w:tcW w:w="4359" w:type="dxa"/>
            <w:tcBorders>
              <w:top w:val="single" w:sz="8" w:space="0" w:color="000000"/>
              <w:left w:val="single" w:sz="8" w:space="0" w:color="000000"/>
              <w:bottom w:val="single" w:sz="8" w:space="0" w:color="000000"/>
              <w:right w:val="single" w:sz="8" w:space="0" w:color="000000"/>
            </w:tcBorders>
            <w:tcMar>
              <w:right w:w="120" w:type="dxa"/>
            </w:tcMar>
            <w:vAlign w:val="center"/>
          </w:tcPr>
          <w:p>
            <w:pPr>
              <w:pStyle w:val="TableContents"/>
              <w:bidi w:val="0"/>
              <w:spacing w:before="0" w:after="283"/>
              <w:jc w:val="left"/>
              <w:rPr/>
            </w:pPr>
            <w:r>
              <w:rPr/>
              <w:t>€</w:t>
            </w:r>
            <w:r>
              <w:rPr>
                <w:rFonts w:ascii="Times New Roman;Times;Serif" w:hAnsi="Times New Roman;Times;Serif"/>
                <w:sz w:val="20"/>
              </w:rPr>
              <w:t>496,995,000</w:t>
            </w:r>
          </w:p>
        </w:tc>
      </w:tr>
      <w:tr>
        <w:trPr/>
        <w:tc>
          <w:tcPr>
            <w:tcW w:w="1528" w:type="dxa"/>
            <w:tcBorders>
              <w:left w:val="single" w:sz="8" w:space="0" w:color="000000"/>
              <w:bottom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Use of Proceeds:</w:t>
            </w:r>
          </w:p>
        </w:tc>
        <w:tc>
          <w:tcPr>
            <w:tcW w:w="8677" w:type="dxa"/>
            <w:gridSpan w:val="2"/>
            <w:tcBorders>
              <w:left w:val="single" w:sz="8" w:space="0" w:color="000000"/>
              <w:bottom w:val="single" w:sz="8" w:space="0" w:color="000000"/>
              <w:right w:val="single" w:sz="8" w:space="0" w:color="000000"/>
            </w:tcBorders>
            <w:tcMar>
              <w:top w:w="0" w:type="dxa"/>
              <w:right w:w="12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issuer intends to use the net proceeds from this offering for general corporate purposes, including the repayment of commercial paper.</w:t>
            </w:r>
          </w:p>
        </w:tc>
      </w:tr>
      <w:tr>
        <w:trPr/>
        <w:tc>
          <w:tcPr>
            <w:tcW w:w="1528" w:type="dxa"/>
            <w:tcBorders>
              <w:left w:val="single" w:sz="8" w:space="0" w:color="000000"/>
              <w:bottom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Day Count Fraction:</w:t>
            </w:r>
          </w:p>
        </w:tc>
        <w:tc>
          <w:tcPr>
            <w:tcW w:w="8677" w:type="dxa"/>
            <w:gridSpan w:val="2"/>
            <w:tcBorders>
              <w:left w:val="single" w:sz="8" w:space="0" w:color="000000"/>
              <w:bottom w:val="single" w:sz="8" w:space="0" w:color="000000"/>
              <w:right w:val="single" w:sz="8" w:space="0" w:color="000000"/>
            </w:tcBorders>
            <w:tcMar>
              <w:top w:w="0" w:type="dxa"/>
              <w:right w:w="12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ACTUAL / ACTUAL (ICMA)</w:t>
            </w:r>
          </w:p>
        </w:tc>
      </w:tr>
      <w:tr>
        <w:trPr/>
        <w:tc>
          <w:tcPr>
            <w:tcW w:w="1528" w:type="dxa"/>
            <w:tcBorders>
              <w:left w:val="single" w:sz="8" w:space="0" w:color="000000"/>
              <w:bottom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CUSIP / ISIN / Common Code:</w:t>
            </w:r>
          </w:p>
        </w:tc>
        <w:tc>
          <w:tcPr>
            <w:tcW w:w="4318" w:type="dxa"/>
            <w:tcBorders>
              <w:left w:val="single" w:sz="8" w:space="0" w:color="000000"/>
              <w:bottom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713448GS1 / XS3541074905 / 354107490</w:t>
            </w:r>
          </w:p>
        </w:tc>
        <w:tc>
          <w:tcPr>
            <w:tcW w:w="4359" w:type="dxa"/>
            <w:tcBorders>
              <w:left w:val="single" w:sz="8" w:space="0" w:color="000000"/>
              <w:bottom w:val="single" w:sz="8" w:space="0" w:color="000000"/>
              <w:right w:val="single" w:sz="8" w:space="0" w:color="000000"/>
            </w:tcBorders>
            <w:tcMar>
              <w:top w:w="0" w:type="dxa"/>
              <w:right w:w="12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713448GT9 / XS3541075381 / 354107538</w:t>
            </w:r>
          </w:p>
        </w:tc>
      </w:tr>
      <w:tr>
        <w:trPr/>
        <w:tc>
          <w:tcPr>
            <w:tcW w:w="1528" w:type="dxa"/>
            <w:tcBorders>
              <w:left w:val="single" w:sz="8" w:space="0" w:color="000000"/>
              <w:bottom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Currency of Payment:</w:t>
            </w:r>
          </w:p>
        </w:tc>
        <w:tc>
          <w:tcPr>
            <w:tcW w:w="8677" w:type="dxa"/>
            <w:gridSpan w:val="2"/>
            <w:tcBorders>
              <w:left w:val="single" w:sz="8" w:space="0" w:color="000000"/>
              <w:bottom w:val="single" w:sz="8" w:space="0" w:color="000000"/>
              <w:right w:val="single" w:sz="8" w:space="0" w:color="000000"/>
            </w:tcBorders>
            <w:tcMar>
              <w:top w:w="0" w:type="dxa"/>
              <w:right w:w="12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All payments of interest and principal, including payments made upon any redemption of the notes, will be payable in euro. If, on or after the issuance of the notes, the euro is unavailable to the issuer due to the imposition of exchange controls or other circumstances beyond the issuer’s control or if the euro is no longer being used by the then member states of the European Monetary Union that have adopted the euro as their currency or for the settlement of transactions by public institutions of or within the international banking community, then all payments in respect of the notes will be made in U.S. dollars until the euro is again available to the issuer and so used.</w:t>
            </w:r>
          </w:p>
        </w:tc>
      </w:tr>
      <w:tr>
        <w:trPr/>
        <w:tc>
          <w:tcPr>
            <w:tcW w:w="1528" w:type="dxa"/>
            <w:tcBorders>
              <w:left w:val="single" w:sz="8" w:space="0" w:color="000000"/>
              <w:bottom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Additional Amounts:</w:t>
            </w:r>
          </w:p>
        </w:tc>
        <w:tc>
          <w:tcPr>
            <w:tcW w:w="8677" w:type="dxa"/>
            <w:gridSpan w:val="2"/>
            <w:tcBorders>
              <w:left w:val="single" w:sz="8" w:space="0" w:color="000000"/>
              <w:bottom w:val="single" w:sz="8" w:space="0" w:color="000000"/>
              <w:right w:val="single" w:sz="8" w:space="0" w:color="000000"/>
            </w:tcBorders>
            <w:tcMar>
              <w:top w:w="0" w:type="dxa"/>
              <w:right w:w="12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issuer will, subject to certain exceptions and limitations, pay as additional interest on the notes such additional amounts as are necessary in order that the net payment by the issuer of the principal of and interest on the notes to a holder who is not a United States person, after withholding or deduction for any present or future tax, assessment or other governmental charge imposed by the United States or a taxing authority in the United States, will not be less than the amount provided in the notes then due and payable.</w:t>
            </w:r>
          </w:p>
        </w:tc>
      </w:tr>
      <w:tr>
        <w:trPr/>
        <w:tc>
          <w:tcPr>
            <w:tcW w:w="1528" w:type="dxa"/>
            <w:tcBorders>
              <w:left w:val="single" w:sz="8" w:space="0" w:color="000000"/>
              <w:bottom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Listing:</w:t>
            </w:r>
          </w:p>
        </w:tc>
        <w:tc>
          <w:tcPr>
            <w:tcW w:w="8677" w:type="dxa"/>
            <w:gridSpan w:val="2"/>
            <w:tcBorders>
              <w:left w:val="single" w:sz="8" w:space="0" w:color="000000"/>
              <w:bottom w:val="single" w:sz="8" w:space="0" w:color="000000"/>
              <w:right w:val="single" w:sz="8" w:space="0" w:color="000000"/>
            </w:tcBorders>
            <w:tcMar>
              <w:top w:w="0" w:type="dxa"/>
              <w:right w:w="12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issuer intends to apply to list the notes on the Nasdaq Bond Exchange and expects trading in the notes to begin within 30 days after the date of their issuance.</w:t>
            </w:r>
          </w:p>
        </w:tc>
      </w:tr>
      <w:tr>
        <w:trPr/>
        <w:tc>
          <w:tcPr>
            <w:tcW w:w="1528" w:type="dxa"/>
            <w:tcBorders>
              <w:left w:val="single" w:sz="8" w:space="0" w:color="000000"/>
              <w:bottom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Minimum Denomination:</w:t>
            </w:r>
          </w:p>
        </w:tc>
        <w:tc>
          <w:tcPr>
            <w:tcW w:w="8677" w:type="dxa"/>
            <w:gridSpan w:val="2"/>
            <w:tcBorders>
              <w:left w:val="single" w:sz="8" w:space="0" w:color="000000"/>
              <w:bottom w:val="single" w:sz="8" w:space="0" w:color="000000"/>
              <w:right w:val="single" w:sz="8" w:space="0" w:color="000000"/>
            </w:tcBorders>
            <w:tcMar>
              <w:top w:w="0" w:type="dxa"/>
              <w:right w:w="120" w:type="dxa"/>
            </w:tcMar>
            <w:vAlign w:val="center"/>
          </w:tcPr>
          <w:p>
            <w:pPr>
              <w:pStyle w:val="TableContents"/>
              <w:bidi w:val="0"/>
              <w:spacing w:before="0" w:after="283"/>
              <w:jc w:val="left"/>
              <w:rPr/>
            </w:pPr>
            <w:r>
              <w:rPr/>
              <w:t>€</w:t>
            </w:r>
            <w:r>
              <w:rPr>
                <w:rFonts w:ascii="Times New Roman;Times;Serif" w:hAnsi="Times New Roman;Times;Serif"/>
                <w:sz w:val="20"/>
              </w:rPr>
              <w:t>100,000 and integral multiples of €1,000</w:t>
            </w:r>
          </w:p>
        </w:tc>
      </w:tr>
      <w:tr>
        <w:trPr/>
        <w:tc>
          <w:tcPr>
            <w:tcW w:w="1528" w:type="dxa"/>
            <w:tcBorders>
              <w:left w:val="single" w:sz="8" w:space="0" w:color="000000"/>
              <w:bottom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Joint Book-Running Managers:</w:t>
            </w:r>
          </w:p>
        </w:tc>
        <w:tc>
          <w:tcPr>
            <w:tcW w:w="8677" w:type="dxa"/>
            <w:gridSpan w:val="2"/>
            <w:tcBorders>
              <w:left w:val="single" w:sz="8" w:space="0" w:color="000000"/>
              <w:bottom w:val="single" w:sz="8" w:space="0" w:color="000000"/>
              <w:right w:val="single" w:sz="8" w:space="0" w:color="000000"/>
            </w:tcBorders>
            <w:tcMar>
              <w:top w:w="0" w:type="dxa"/>
              <w:right w:w="12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Deutsche Bank AG, London Branch</w:t>
              <w:br/>
              <w:t>HSBC Bank plc</w:t>
            </w:r>
          </w:p>
        </w:tc>
      </w:tr>
      <w:tr>
        <w:trPr/>
        <w:tc>
          <w:tcPr>
            <w:tcW w:w="1528" w:type="dxa"/>
            <w:tcBorders>
              <w:left w:val="single" w:sz="8" w:space="0" w:color="000000"/>
              <w:bottom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Co-Managers:</w:t>
            </w:r>
          </w:p>
        </w:tc>
        <w:tc>
          <w:tcPr>
            <w:tcW w:w="8677" w:type="dxa"/>
            <w:gridSpan w:val="2"/>
            <w:tcBorders>
              <w:left w:val="single" w:sz="8" w:space="0" w:color="000000"/>
              <w:bottom w:val="single" w:sz="8" w:space="0" w:color="000000"/>
              <w:right w:val="single" w:sz="8" w:space="0" w:color="000000"/>
            </w:tcBorders>
            <w:tcMar>
              <w:top w:w="0" w:type="dxa"/>
              <w:right w:w="12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Academy Securities, Inc.</w:t>
              <w:br/>
              <w:t>Loop Capital Markets LLC</w:t>
              <w:br/>
              <w:t>PNC Capital Markets LLC</w:t>
            </w:r>
          </w:p>
        </w:tc>
      </w:tr>
    </w:tbl>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expects that delivery of the notes will be made, against payment for the notes, on or about October 16, 2026, which will be the fourth U.S. business day following the pricing of the notes. Under Rule 15c6-1 of the Securities Exchange Act of 1934, as amended, purchases or sales of securities in the secondary market generally are required to settle within one U.S. business day (T+1), unless the parties to any such transactions expressly agree otherwise. Accordingly, purchasers of notes who wish to trade the notes on the date hereof or on the next succeeding two U.S. business days will be required, because the notes initially will settle within four U.S. business days (T+4), to specify an alternate settlement cycle at the time of any such trade to prevent a failed settlement. Purchasers of notes who wish to trade on the date hereof or on the next succeeding two U.S. business days should consult their own legal and financial advisors.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explanation of the significance of ratings may be obtained from the ratings agencies. Generally, ratings agencies base their ratings on such material and information, and such of their own investigations, studies and assumptions, as they deem appropriate. The security ratings above are not a recommendation to buy, sell or hold the securities offered hereby. The ratings may be subject to review, revision, suspension, reduction or withdrawal at any time by S&amp;P and Moody’s. Each of the security ratings above should be evaluated independently of any other security rating.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Manufacturer target market (MiFID II and UK MiFIR product governance) is eligible counterparties and professional clients only (all distribution channels). No PRIIPs key information document (KID) / CCI Product Summary has been prepared as not available to retail in EEA or the UK.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non-U.S. registered broker-dealer will not effect any offers or sales of any notes in the United States unless it is through one or more U.S. registered broker-dealers as permitted by the regulations of FINRA.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website at www.sec.gov. Alternatively, the issuer, any underwriter or any dealer participating in the offering will arrange to send you the prospectus if you request it by calling Deutsche Bank AG, London Branch toll-free at 1-800-503-4611 or HSBC Bank plc toll-free at 1-866-811-8049.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disclaimers or other notices that may appear below are not applicable to this communication and should be disregarded. Such disclaimers or other notices were automatically generated as a result of this communication being sent via Bloomberg or another email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1100</Words>
  <Characters>5677</Characters>
  <CharactersWithSpaces>6706</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