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360" w:right="0" w:hanging="0"/>
        <w:jc w:val="both"/>
        <w:rPr/>
      </w:pPr>
      <w:bookmarkStart w:id="0" w:name="tm2627433d2_8k.htm"/>
      <w:bookmarkStart w:id="1" w:name="kstm2627433d2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1016__20"/>
      <w:bookmarkEnd w:id="2"/>
      <w:r>
        <w:rPr>
          <w:rFonts w:ascii="Times New Roman;Times;Serif" w:hAnsi="Times New Roman;Times;Serif"/>
          <w:b/>
          <w:i w:val="false"/>
          <w:caps w:val="false"/>
          <w:smallCaps w:val="false"/>
          <w:sz w:val="20"/>
        </w:rPr>
        <w:t>8-K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October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3_edei--EntityRegistrantName_c2026"/>
      <w:bookmarkEnd w:id="4"/>
      <w:r>
        <w:rPr>
          <w:rFonts w:ascii="Times New Roman;Times;Serif" w:hAnsi="Times New Roman;Times;Serif"/>
          <w:b/>
          <w:i w:val="false"/>
          <w:caps w:val="false"/>
          <w:smallCaps w:val="false"/>
          <w:sz w:val="32"/>
        </w:rPr>
        <w:t>PepsiCo,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b/>
                <w:sz w:val="20"/>
              </w:rPr>
            </w:pPr>
            <w:bookmarkStart w:id="5" w:name="xdx_907_edei--EntityIncorporationStateCo"/>
            <w:bookmarkEnd w:id="5"/>
            <w:r>
              <w:rPr>
                <w:b/>
                <w:sz w:val="20"/>
              </w:rPr>
              <w:t>North Carolina</w:t>
            </w:r>
          </w:p>
        </w:tc>
        <w:tc>
          <w:tcPr>
            <w:tcW w:w="2210" w:type="dxa"/>
            <w:tcBorders/>
            <w:vAlign w:val="center"/>
          </w:tcPr>
          <w:p>
            <w:pPr>
              <w:pStyle w:val="TableContents"/>
              <w:bidi w:val="0"/>
              <w:spacing w:before="0" w:after="283"/>
              <w:jc w:val="center"/>
              <w:rPr>
                <w:b/>
                <w:sz w:val="20"/>
              </w:rPr>
            </w:pPr>
            <w:bookmarkStart w:id="6" w:name="xdx_90E_edei--EntityFileNumber_c20261016"/>
            <w:bookmarkEnd w:id="6"/>
            <w:r>
              <w:rPr>
                <w:b/>
                <w:sz w:val="20"/>
              </w:rPr>
              <w:t>1-1183</w:t>
            </w:r>
          </w:p>
        </w:tc>
        <w:tc>
          <w:tcPr>
            <w:tcW w:w="2780" w:type="dxa"/>
            <w:tcBorders/>
            <w:vAlign w:val="center"/>
          </w:tcPr>
          <w:p>
            <w:pPr>
              <w:pStyle w:val="TableContents"/>
              <w:bidi w:val="0"/>
              <w:spacing w:before="0" w:after="283"/>
              <w:jc w:val="center"/>
              <w:rPr>
                <w:b/>
                <w:sz w:val="20"/>
              </w:rPr>
            </w:pPr>
            <w:bookmarkStart w:id="7" w:name="xdx_903_edei--EntityTaxIdentificationNum"/>
            <w:bookmarkEnd w:id="7"/>
            <w:r>
              <w:rPr>
                <w:b/>
                <w:sz w:val="20"/>
              </w:rPr>
              <w:t>13-1584302</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tbl>
      <w:tblPr>
        <w:tblW w:w="4855" w:type="dxa"/>
        <w:jc w:val="left"/>
        <w:tblInd w:w="0" w:type="dxa"/>
        <w:tblLayout w:type="fixed"/>
        <w:tblCellMar>
          <w:top w:w="0" w:type="dxa"/>
          <w:left w:w="0" w:type="dxa"/>
          <w:bottom w:w="0" w:type="dxa"/>
          <w:right w:w="0" w:type="dxa"/>
        </w:tblCellMar>
      </w:tblPr>
      <w:tblGrid>
        <w:gridCol w:w="3935"/>
        <w:gridCol w:w="920"/>
      </w:tblGrid>
      <w:tr>
        <w:trPr/>
        <w:tc>
          <w:tcPr>
            <w:tcW w:w="3935" w:type="dxa"/>
            <w:tcBorders/>
            <w:vAlign w:val="center"/>
          </w:tcPr>
          <w:p>
            <w:pPr>
              <w:pStyle w:val="TableContents"/>
              <w:bidi w:val="0"/>
              <w:spacing w:before="0" w:after="283"/>
              <w:jc w:val="center"/>
              <w:rPr/>
            </w:pPr>
            <w:bookmarkStart w:id="8" w:name="xdx_906_edei--EntityAddressAddressLine1_"/>
            <w:bookmarkEnd w:id="8"/>
            <w:r>
              <w:rPr>
                <w:b/>
                <w:sz w:val="20"/>
              </w:rPr>
              <w:t xml:space="preserve">700 Anderson Hill Road, </w:t>
            </w:r>
            <w:bookmarkStart w:id="9" w:name="xdx_905_edei--EntityAddressCityOrTown_c2"/>
            <w:bookmarkEnd w:id="9"/>
            <w:r>
              <w:rPr>
                <w:b/>
                <w:sz w:val="20"/>
              </w:rPr>
              <w:t xml:space="preserve">Purchase, </w:t>
            </w:r>
            <w:bookmarkStart w:id="10" w:name="xdx_900_edei--EntityAddressStateOrProvin"/>
            <w:bookmarkEnd w:id="10"/>
            <w:r>
              <w:rPr>
                <w:b/>
                <w:sz w:val="20"/>
              </w:rPr>
              <w:t>New York</w:t>
            </w:r>
            <w:r>
              <w:rPr/>
              <w:t xml:space="preserve"> </w:t>
            </w:r>
          </w:p>
        </w:tc>
        <w:tc>
          <w:tcPr>
            <w:tcW w:w="920" w:type="dxa"/>
            <w:tcBorders/>
            <w:vAlign w:val="center"/>
          </w:tcPr>
          <w:p>
            <w:pPr>
              <w:pStyle w:val="TableContents"/>
              <w:bidi w:val="0"/>
              <w:spacing w:before="0" w:after="283"/>
              <w:jc w:val="center"/>
              <w:rPr>
                <w:b/>
                <w:sz w:val="20"/>
              </w:rPr>
            </w:pPr>
            <w:bookmarkStart w:id="11" w:name="xdx_906_edei--EntityAddressPostalZipCode"/>
            <w:bookmarkEnd w:id="11"/>
            <w:r>
              <w:rPr>
                <w:b/>
                <w:sz w:val="20"/>
              </w:rPr>
              <w:t>10577</w:t>
            </w:r>
          </w:p>
        </w:tc>
      </w:tr>
      <w:tr>
        <w:trPr/>
        <w:tc>
          <w:tcPr>
            <w:tcW w:w="3935" w:type="dxa"/>
            <w:tcBorders/>
            <w:vAlign w:val="center"/>
          </w:tcPr>
          <w:p>
            <w:pPr>
              <w:pStyle w:val="TableContents"/>
              <w:bidi w:val="0"/>
              <w:spacing w:before="0" w:after="283"/>
              <w:jc w:val="center"/>
              <w:rPr/>
            </w:pPr>
            <w:r>
              <w:rPr>
                <w:sz w:val="20"/>
              </w:rPr>
              <w:t>(Address of principal executive offices)</w:t>
            </w:r>
            <w:r>
              <w:rPr/>
              <w:t xml:space="preserve">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E_edei--CityAreaCode_c20261016__20"/>
      <w:bookmarkEnd w:id="12"/>
      <w:r>
        <w:rPr>
          <w:rFonts w:ascii="Times New Roman;Times;Serif" w:hAnsi="Times New Roman;Times;Serif"/>
          <w:b/>
          <w:i w:val="false"/>
          <w:caps w:val="false"/>
          <w:smallCaps w:val="false"/>
          <w:sz w:val="20"/>
        </w:rPr>
        <w:t xml:space="preserve">914) </w:t>
      </w:r>
      <w:bookmarkStart w:id="13" w:name="xdx_903_edei--LocalPhoneNumber_c20261016"/>
      <w:bookmarkEnd w:id="13"/>
      <w:r>
        <w:rPr>
          <w:rFonts w:ascii="Times New Roman;Times;Serif" w:hAnsi="Times New Roman;Times;Serif"/>
          <w:b/>
          <w:i w:val="false"/>
          <w:caps w:val="false"/>
          <w:smallCaps w:val="false"/>
          <w:sz w:val="20"/>
        </w:rPr>
        <w:t>253-2000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D_edei--SolicitingMaterial_c202610"/>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10125" w:type="dxa"/>
        <w:jc w:val="left"/>
        <w:tblInd w:w="0" w:type="dxa"/>
        <w:tblLayout w:type="fixed"/>
        <w:tblCellMar>
          <w:top w:w="0" w:type="dxa"/>
          <w:left w:w="0" w:type="dxa"/>
          <w:bottom w:w="28" w:type="dxa"/>
          <w:right w:w="0" w:type="dxa"/>
        </w:tblCellMar>
      </w:tblPr>
      <w:tblGrid>
        <w:gridCol w:w="3845"/>
        <w:gridCol w:w="60"/>
        <w:gridCol w:w="1685"/>
        <w:gridCol w:w="60"/>
        <w:gridCol w:w="4475"/>
      </w:tblGrid>
      <w:tr>
        <w:trPr/>
        <w:tc>
          <w:tcPr>
            <w:tcW w:w="384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85" w:type="dxa"/>
            <w:tcBorders>
              <w:bottom w:val="single" w:sz="8"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61016"/>
            <w:bookmarkEnd w:id="18"/>
            <w:r>
              <w:rPr>
                <w:rFonts w:ascii="Times New Roman;Times;Serif" w:hAnsi="Times New Roman;Times;Serif"/>
                <w:b w:val="false"/>
                <w:i w:val="false"/>
                <w:caps w:val="false"/>
                <w:smallCaps w:val="false"/>
                <w:sz w:val="20"/>
              </w:rPr>
              <w:t>Common Stock, par value 1-2/3 cents per share</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sz w:val="20"/>
              </w:rPr>
            </w:pPr>
            <w:bookmarkStart w:id="19" w:name="xdx_90E_edei--TradingSymbol_c20261016__2"/>
            <w:bookmarkEnd w:id="19"/>
            <w:r>
              <w:rPr>
                <w:sz w:val="20"/>
              </w:rPr>
              <w:t>PEP</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SecurityExchangeName_c2026"/>
            <w:bookmarkEnd w:id="20"/>
            <w:r>
              <w:rPr>
                <w:rFonts w:ascii="Times New Roman;Times;Serif" w:hAnsi="Times New Roman;Times;Serif"/>
                <w:b w:val="false"/>
                <w:i w:val="false"/>
                <w:caps w:val="false"/>
                <w:smallCaps w:val="false"/>
                <w:sz w:val="20"/>
              </w:rPr>
              <w:t>The Nasdaq Stock Market LLC</w:t>
            </w:r>
          </w:p>
        </w:tc>
      </w:tr>
      <w:tr>
        <w:trPr/>
        <w:tc>
          <w:tcPr>
            <w:tcW w:w="3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6_edei--Security12bTitle_c20261016"/>
            <w:bookmarkEnd w:id="21"/>
            <w:r>
              <w:rPr>
                <w:rFonts w:ascii="Times New Roman;Times;Serif" w:hAnsi="Times New Roman;Times;Serif"/>
                <w:b w:val="false"/>
                <w:i w:val="false"/>
                <w:caps w:val="false"/>
                <w:smallCaps w:val="false"/>
                <w:sz w:val="20"/>
              </w:rPr>
              <w:t>0.750% Senior Notes due 2027</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sz w:val="20"/>
              </w:rPr>
            </w:pPr>
            <w:bookmarkStart w:id="22" w:name="xdx_902_edei--TradingSymbol_c20261016__2"/>
            <w:bookmarkEnd w:id="22"/>
            <w:r>
              <w:rPr>
                <w:sz w:val="20"/>
              </w:rPr>
              <w:t>PEP27</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F_edei--SecurityExchangeName_c2026"/>
            <w:bookmarkEnd w:id="23"/>
            <w:r>
              <w:rPr>
                <w:rFonts w:ascii="Times New Roman;Times;Serif" w:hAnsi="Times New Roman;Times;Serif"/>
                <w:b w:val="false"/>
                <w:i w:val="false"/>
                <w:caps w:val="false"/>
                <w:smallCaps w:val="false"/>
                <w:sz w:val="20"/>
              </w:rPr>
              <w:t>The Nasdaq Stock Market LLC</w:t>
            </w:r>
          </w:p>
        </w:tc>
      </w:tr>
      <w:tr>
        <w:trPr/>
        <w:tc>
          <w:tcPr>
            <w:tcW w:w="3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Security12bTitle_c20261016"/>
            <w:bookmarkEnd w:id="24"/>
            <w:r>
              <w:rPr>
                <w:rFonts w:ascii="Times New Roman;Times;Serif" w:hAnsi="Times New Roman;Times;Serif"/>
                <w:b w:val="false"/>
                <w:i w:val="false"/>
                <w:caps w:val="false"/>
                <w:smallCaps w:val="false"/>
                <w:sz w:val="20"/>
              </w:rPr>
              <w:t>0.875% Senior Notes due 2028</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sz w:val="20"/>
              </w:rPr>
            </w:pPr>
            <w:bookmarkStart w:id="25" w:name="xdx_907_edei--TradingSymbol_c20261016__2"/>
            <w:bookmarkEnd w:id="25"/>
            <w:r>
              <w:rPr>
                <w:sz w:val="20"/>
              </w:rPr>
              <w:t>PEP28</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A_edei--SecurityExchangeName_c2026"/>
            <w:bookmarkEnd w:id="26"/>
            <w:r>
              <w:rPr>
                <w:rFonts w:ascii="Times New Roman;Times;Serif" w:hAnsi="Times New Roman;Times;Serif"/>
                <w:b w:val="false"/>
                <w:i w:val="false"/>
                <w:caps w:val="false"/>
                <w:smallCaps w:val="false"/>
                <w:sz w:val="20"/>
              </w:rPr>
              <w:t>The Nasdaq Stock Market LLC</w:t>
            </w:r>
          </w:p>
        </w:tc>
      </w:tr>
      <w:tr>
        <w:trPr/>
        <w:tc>
          <w:tcPr>
            <w:tcW w:w="3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 w:name="xdx_90D_edei--Security12bTitle_c20261016"/>
            <w:bookmarkEnd w:id="27"/>
            <w:r>
              <w:rPr>
                <w:rFonts w:ascii="Times New Roman;Times;Serif" w:hAnsi="Times New Roman;Times;Serif"/>
                <w:b w:val="false"/>
                <w:i w:val="false"/>
                <w:caps w:val="false"/>
                <w:smallCaps w:val="false"/>
                <w:sz w:val="20"/>
              </w:rPr>
              <w:t>0.500% Senior Notes due 2028</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sz w:val="20"/>
              </w:rPr>
            </w:pPr>
            <w:bookmarkStart w:id="28" w:name="xdx_904_edei--TradingSymbol_c20261016__2"/>
            <w:bookmarkEnd w:id="28"/>
            <w:r>
              <w:rPr>
                <w:sz w:val="20"/>
              </w:rPr>
              <w:t>PEP28A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 w:name="xdx_907_edei--SecurityExchangeName_c2026"/>
            <w:bookmarkEnd w:id="29"/>
            <w:r>
              <w:rPr>
                <w:rFonts w:ascii="Times New Roman;Times;Serif" w:hAnsi="Times New Roman;Times;Serif"/>
                <w:b w:val="false"/>
                <w:i w:val="false"/>
                <w:caps w:val="false"/>
                <w:smallCaps w:val="false"/>
                <w:sz w:val="20"/>
              </w:rPr>
              <w:t>The Nasdaq Stock Market LLC</w:t>
            </w:r>
          </w:p>
        </w:tc>
      </w:tr>
      <w:tr>
        <w:trPr/>
        <w:tc>
          <w:tcPr>
            <w:tcW w:w="3845" w:type="dxa"/>
            <w:tcBorders/>
            <w:tcMar>
              <w:bottom w:w="0" w:type="dxa"/>
            </w:tcMar>
            <w:vAlign w:val="center"/>
          </w:tcPr>
          <w:p>
            <w:pPr>
              <w:pStyle w:val="TableContents"/>
              <w:bidi w:val="0"/>
              <w:spacing w:before="0" w:after="283"/>
              <w:jc w:val="center"/>
              <w:rPr>
                <w:sz w:val="20"/>
              </w:rPr>
            </w:pPr>
            <w:bookmarkStart w:id="30" w:name="xdx_90A_edei--Security12bTitle_c20261016"/>
            <w:bookmarkEnd w:id="30"/>
            <w:r>
              <w:rPr>
                <w:sz w:val="20"/>
              </w:rPr>
              <w:t>Floating Rate Notes Due 2028</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sz w:val="20"/>
              </w:rPr>
            </w:pPr>
            <w:bookmarkStart w:id="31" w:name="xdx_905_edei--TradingSymbol_c20261016__2"/>
            <w:bookmarkEnd w:id="31"/>
            <w:r>
              <w:rPr>
                <w:sz w:val="20"/>
              </w:rPr>
              <w:t>PEP28B</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32" w:name="xdx_901_edei--SecurityExchangeName_c2026"/>
            <w:bookmarkEnd w:id="32"/>
            <w:r>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33" w:name="xdx_90D_edei--Security12bTitle_c20261016"/>
            <w:bookmarkEnd w:id="33"/>
            <w:r>
              <w:rPr/>
              <w:t>3.200% Senior Notes due 2029</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34" w:name="xdx_90E_edei--TradingSymbol_c20261016__2"/>
            <w:bookmarkEnd w:id="34"/>
            <w:r>
              <w:rPr/>
              <w:t>PEP29</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35" w:name="xdx_904_edei--SecurityExchangeName_c2026"/>
            <w:bookmarkEnd w:id="35"/>
            <w:r>
              <w:rPr/>
              <w:t>The Nasdaq Stock Market LLC</w:t>
            </w:r>
          </w:p>
        </w:tc>
      </w:tr>
      <w:tr>
        <w:trPr/>
        <w:tc>
          <w:tcPr>
            <w:tcW w:w="3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6" w:name="xdx_904_edei--Security12bTitle_c20261016"/>
            <w:bookmarkEnd w:id="36"/>
            <w:r>
              <w:rPr>
                <w:rFonts w:ascii="Times New Roman;Times;Serif" w:hAnsi="Times New Roman;Times;Serif"/>
                <w:b w:val="false"/>
                <w:i w:val="false"/>
                <w:caps w:val="false"/>
                <w:smallCaps w:val="false"/>
                <w:sz w:val="20"/>
              </w:rPr>
              <w:t>1.125% Senior Notes due 2031</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sz w:val="20"/>
              </w:rPr>
            </w:pPr>
            <w:bookmarkStart w:id="37" w:name="xdx_901_edei--TradingSymbol_c20261016__2"/>
            <w:bookmarkEnd w:id="37"/>
            <w:r>
              <w:rPr>
                <w:sz w:val="20"/>
              </w:rPr>
              <w:t>PEP31</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8" w:name="xdx_903_edei--SecurityExchangeName_c2026"/>
            <w:bookmarkEnd w:id="38"/>
            <w:r>
              <w:rPr>
                <w:rFonts w:ascii="Times New Roman;Times;Serif" w:hAnsi="Times New Roman;Times;Serif"/>
                <w:b w:val="false"/>
                <w:i w:val="false"/>
                <w:caps w:val="false"/>
                <w:smallCaps w:val="false"/>
                <w:sz w:val="20"/>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39" w:name="xdx_901_edei--Security12bTitle_c20261016"/>
            <w:bookmarkEnd w:id="39"/>
            <w:r>
              <w:rPr/>
              <w:t>0.400% Senior Notes due 2032</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40" w:name="xdx_905_edei--TradingSymbol_c20261016__2"/>
            <w:bookmarkEnd w:id="40"/>
            <w:r>
              <w:rPr/>
              <w:t>PEP32</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41" w:name="xdx_90A_edei--SecurityExchangeName_c2026"/>
            <w:bookmarkEnd w:id="41"/>
            <w:r>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42" w:name="xdx_900_edei--Security12bTitle_c20261016"/>
            <w:bookmarkEnd w:id="42"/>
            <w:r>
              <w:rPr/>
              <w:t>0.750% Senior Notes due 2033</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43" w:name="xdx_900_edei--TradingSymbol_c20261016__2"/>
            <w:bookmarkEnd w:id="43"/>
            <w:r>
              <w:rPr/>
              <w:t>PEP33</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44" w:name="xdx_903_edei--SecurityExchangeName_c2026"/>
            <w:bookmarkEnd w:id="44"/>
            <w:r>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45" w:name="xdx_90B_edei--Security12bTitle_c20261016"/>
            <w:bookmarkEnd w:id="45"/>
            <w:r>
              <w:rPr/>
              <w:t>3.550% Senior Notes due 2034</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46" w:name="xdx_90E_edei--TradingSymbol_c20261016__2"/>
            <w:bookmarkEnd w:id="46"/>
            <w:r>
              <w:rPr/>
              <w:t>PEP34</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47" w:name="xdx_902_edei--SecurityExchangeName_c2026"/>
            <w:bookmarkEnd w:id="47"/>
            <w:r>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48" w:name="xdx_909_edei--Security12bTitle_c20261016"/>
            <w:bookmarkEnd w:id="48"/>
            <w:r>
              <w:rPr/>
              <w:t>3.300% Senior Notes due 2034</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49" w:name="xdx_90F_edei--TradingSymbol_c20261016__2"/>
            <w:bookmarkEnd w:id="49"/>
            <w:r>
              <w:rPr/>
              <w:t>PEP34A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50" w:name="xdx_906_edei--SecurityExchangeName_c2026"/>
            <w:bookmarkEnd w:id="50"/>
            <w:r>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51" w:name="xdx_909_edei--Security12bTitle_c20261016"/>
            <w:bookmarkEnd w:id="51"/>
            <w:r>
              <w:rPr/>
              <w:t>3.450% Senior Notes due 2037</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52" w:name="xdx_909_edei--TradingSymbol_c20261016__2"/>
            <w:bookmarkEnd w:id="52"/>
            <w:r>
              <w:rPr/>
              <w:t>PEP37</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53" w:name="xdx_905_edei--SecurityExchangeName_c2026"/>
            <w:bookmarkEnd w:id="53"/>
            <w:r>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54" w:name="xdx_90F_edei--Security12bTitle_c20261016"/>
            <w:bookmarkEnd w:id="54"/>
            <w:r>
              <w:rPr/>
              <w:t>3.700% Senior Notes due 2038</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55" w:name="xdx_908_edei--TradingSymbol_c20261016__2"/>
            <w:bookmarkEnd w:id="55"/>
            <w:r>
              <w:rPr/>
              <w:t>PEP38</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56" w:name="xdx_90A_edei--SecurityExchangeName_c2026"/>
            <w:bookmarkEnd w:id="56"/>
            <w:r>
              <w:rPr/>
              <w:t>The Nasdaq Stock Market LLC</w:t>
            </w:r>
          </w:p>
        </w:tc>
      </w:tr>
      <w:tr>
        <w:trPr/>
        <w:tc>
          <w:tcPr>
            <w:tcW w:w="3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7" w:name="xdx_906_edei--Security12bTitle_c20261016"/>
            <w:bookmarkEnd w:id="57"/>
            <w:r>
              <w:rPr>
                <w:rFonts w:ascii="Times New Roman;Times;Serif" w:hAnsi="Times New Roman;Times;Serif"/>
                <w:b w:val="false"/>
                <w:i w:val="false"/>
                <w:caps w:val="false"/>
                <w:smallCaps w:val="false"/>
                <w:sz w:val="20"/>
              </w:rPr>
              <w:t>0.875% Senior Notes due 2039</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sz w:val="20"/>
              </w:rPr>
            </w:pPr>
            <w:bookmarkStart w:id="58" w:name="xdx_90E_edei--TradingSymbol_c20261016__2"/>
            <w:bookmarkEnd w:id="58"/>
            <w:r>
              <w:rPr>
                <w:sz w:val="20"/>
              </w:rPr>
              <w:t>PEP39</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9" w:name="xdx_90E_edei--SecurityExchangeName_c2026"/>
            <w:bookmarkEnd w:id="59"/>
            <w:r>
              <w:rPr>
                <w:rFonts w:ascii="Times New Roman;Times;Serif" w:hAnsi="Times New Roman;Times;Serif"/>
                <w:b w:val="false"/>
                <w:i w:val="false"/>
                <w:caps w:val="false"/>
                <w:smallCaps w:val="false"/>
                <w:sz w:val="20"/>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60" w:name="xdx_90D_edei--Security12bTitle_c20261016"/>
            <w:bookmarkEnd w:id="60"/>
            <w:r>
              <w:rPr/>
              <w:t>4.150% Senior Notes due 2047</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61" w:name="xdx_90A_edei--TradingSymbol_c20261016__2"/>
            <w:bookmarkEnd w:id="61"/>
            <w:r>
              <w:rPr/>
              <w:t>PEP47</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62" w:name="xdx_903_edei--SecurityExchangeName_c2026"/>
            <w:bookmarkEnd w:id="62"/>
            <w:r>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63" w:name="xdx_902_edei--Security12bTitle_c20261016"/>
            <w:bookmarkEnd w:id="63"/>
            <w:r>
              <w:rPr/>
              <w:t>1.050% Senior Notes due 2050</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64" w:name="xdx_90F_edei--TradingSymbol_c20261016__2"/>
            <w:bookmarkEnd w:id="64"/>
            <w:r>
              <w:rPr/>
              <w:t>PEP50</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65" w:name="xdx_901_edei--SecurityExchangeName_c2026"/>
            <w:bookmarkEnd w:id="65"/>
            <w:r>
              <w:rPr/>
              <w:t>The Nasdaq Stock Market LLC</w:t>
            </w:r>
          </w:p>
        </w:tc>
      </w:tr>
      <w:tr>
        <w:trPr/>
        <w:tc>
          <w:tcPr>
            <w:tcW w:w="3845" w:type="dxa"/>
            <w:tcBorders/>
            <w:tcMar>
              <w:bottom w:w="0" w:type="dxa"/>
            </w:tcMar>
            <w:vAlign w:val="center"/>
          </w:tcPr>
          <w:p>
            <w:pPr>
              <w:pStyle w:val="TableContents"/>
              <w:bidi w:val="0"/>
              <w:spacing w:before="0" w:after="283"/>
              <w:jc w:val="center"/>
              <w:rPr/>
            </w:pPr>
            <w:bookmarkStart w:id="66" w:name="xdx_90D_edei--Security12bTitle_c20261016"/>
            <w:bookmarkEnd w:id="66"/>
            <w:r>
              <w:rPr/>
              <w:t>4.050% Senior Notes due 2055</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67" w:name="xdx_900_edei--TradingSymbol_c20261016__2"/>
            <w:bookmarkEnd w:id="67"/>
            <w:r>
              <w:rPr/>
              <w:t>PEP55</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pPr>
            <w:bookmarkStart w:id="68" w:name="xdx_908_edei--SecurityExchangeName_c2026"/>
            <w:bookmarkEnd w:id="68"/>
            <w:r>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color w:val="211D1E"/>
        </w:rPr>
      </w:pPr>
      <w:r>
        <w:rPr>
          <w:caps w:val="false"/>
          <w:smallCaps w:val="false"/>
          <w:color w:val="211D1E"/>
        </w:rPr>
        <w:t> </w:t>
      </w:r>
    </w:p>
    <w:tbl>
      <w:tblPr>
        <w:tblW w:w="2485" w:type="dxa"/>
        <w:jc w:val="left"/>
        <w:tblInd w:w="0" w:type="dxa"/>
        <w:tblLayout w:type="fixed"/>
        <w:tblCellMar>
          <w:top w:w="0" w:type="dxa"/>
          <w:left w:w="0" w:type="dxa"/>
          <w:bottom w:w="0" w:type="dxa"/>
          <w:right w:w="0" w:type="dxa"/>
        </w:tblCellMar>
      </w:tblPr>
      <w:tblGrid>
        <w:gridCol w:w="2240"/>
        <w:gridCol w:w="245"/>
      </w:tblGrid>
      <w:tr>
        <w:trPr/>
        <w:tc>
          <w:tcPr>
            <w:tcW w:w="2240"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bookmarkStart w:id="69" w:name="xdx_909_edei--EntityEmergingGrowthCompan"/>
            <w:bookmarkEnd w:id="69"/>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left"/>
              <w:rPr/>
            </w:pPr>
            <w: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PepsiCo Senior Notes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PepsiCo, Inc. (“PepsiCo”) announced an offering of €500,000,000 aggregate principal amount of its 3.750% Senior Notes due 2029 (the “2029 Notes”) and €500,000,000 aggregate principal amount of its 4.250% Senior Notes due 2035 (the “2035 Notes,” and together with the 2029 Notes, the “Notes”). Deutsche Bank AG, London Branch and HSBC Bank plc were joint book-running managers for the offering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PepsiCo received net proceeds of approximately €994 million, after deducting underwriting discounts and estimated offering expenses payable by PepsiCo. The net proceeds will be used for general corporate purposes, including the repayment of commercial paper.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offered and sold pursuant to a Terms Agreement (the “Terms Agreement”) dated October 9, 2026 (incorporating the PepsiCo, Inc. Underwriting Agreement Standard Provisions dated as of November 18, 2019 (the “Standard Provisions”)) among PepsiCo and the several underwriters, under PepsiCo’s automatic shelf registration statement on Form S-3 (File No. 333-277003), filed with the Securities and Exchange Commission (the “SEC”) on February 12, 2024 (the “Registration Statement”). PepsiCo has filed with the SEC a prospectus supplement, dated October 9, 2026, together with the accompanying prospectus, dated February 12, 2024, relating to the offer and sale of the Notes. The Notes were issued on October 16, 2026 pursuant to an Indenture (the “Indenture”) dated as of February 12, 2024 between PepsiCo and U.S. Bank Trust Company, National Association, as Trustee. The following table summarizes information about the Notes and the offering thereof.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4"/>
        <w:gridCol w:w="60"/>
        <w:gridCol w:w="4415"/>
        <w:gridCol w:w="60"/>
        <w:gridCol w:w="4056"/>
      </w:tblGrid>
      <w:tr>
        <w:trPr/>
        <w:tc>
          <w:tcPr>
            <w:tcW w:w="16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 Senior Notes due 2029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0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4.250% Senior Notes due 2035</w:t>
            </w:r>
          </w:p>
        </w:tc>
      </w:tr>
      <w:tr>
        <w:trPr/>
        <w:tc>
          <w:tcPr>
            <w:tcW w:w="1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Amount Offered: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15"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500,000,000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56"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500,000,000</w:t>
            </w:r>
          </w:p>
        </w:tc>
      </w:tr>
      <w:tr>
        <w:trPr/>
        <w:tc>
          <w:tcPr>
            <w:tcW w:w="16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Date: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2035</w:t>
            </w:r>
          </w:p>
        </w:tc>
      </w:tr>
      <w:tr>
        <w:trPr/>
        <w:tc>
          <w:tcPr>
            <w:tcW w:w="1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in arrears on October 16, commencing October 16, 2027.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in arrears on October 16, commencing October 16, 2027.</w:t>
            </w:r>
          </w:p>
        </w:tc>
      </w:tr>
      <w:tr>
        <w:trPr/>
        <w:tc>
          <w:tcPr>
            <w:tcW w:w="16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Coupon: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w:t>
            </w:r>
          </w:p>
        </w:tc>
      </w:tr>
      <w:tr>
        <w:trPr/>
        <w:tc>
          <w:tcPr>
            <w:tcW w:w="16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Optional Redemption: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September 16, 2029, make-whole call at comparable government bond rate plus 10 basis points; par call at any time on or after September 16, 2029.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July 16, 2035, make-whole call at comparable government bond rate plus 15 basis points; par call at any time on or after July 16, 2035.</w:t>
            </w:r>
          </w:p>
        </w:tc>
      </w:tr>
      <w:tr>
        <w:trPr/>
        <w:tc>
          <w:tcPr>
            <w:tcW w:w="16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to Public: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99.824%</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unsecured obligations of PepsiCo and rank equally with all of PepsiCo’s other unsecured senior indebtedness. The Indenture also contains customary event of default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Terms Agreement, the Indenture and the Notes is qualified in its entirety by reference to the Terms Agreement, the Indenture and the forms of Notes. Each of the Terms Agreement, the Standard Provisions and the forms of the 2029 Note and 2035 Note is incorporated by reference into the Registration Statement and is filed with this Current Report on Form 8-K as Exhibit 1.1, Exhibit 1.2, Exhibit 4.1 and Exhibit 4.2, respectively. The Board of Directors resolutions authorizing PepsiCo’s officers to establish the terms of the Notes have been filed as Exhibit 4.9 to the Registration Statement. The Indenture has been filed as Exhibit 4.3 to the Registration Statement. Opinions regarding the legality of the Notes are incorporated by reference into the Registration Statement and are filed with this Current Report on Form 8-K as Exhibits 5.1 and 5.2; and consents relating to such incorporation of such opinions are incorporated by reference into the Registration Statement and are filed with this Current Report on Form 8-K as Exhibits 23.1 and 23.2 by reference to their inclusion within Exhibits 5.1 and 5.2,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w:anchor="tm2627433d2_ex1-1.htm">
              <w:r>
                <w:rPr>
                  <w:rStyle w:val="InternetLink"/>
                </w:rPr>
                <w:t>1.1</w:t>
              </w:r>
            </w:hyperlink>
          </w:p>
        </w:tc>
        <w:tc>
          <w:tcPr>
            <w:tcW w:w="9847" w:type="dxa"/>
            <w:tcBorders/>
            <w:vAlign w:val="center"/>
          </w:tcPr>
          <w:p>
            <w:pPr>
              <w:pStyle w:val="TableContents"/>
              <w:bidi w:val="0"/>
              <w:spacing w:before="0" w:after="283"/>
              <w:jc w:val="left"/>
              <w:rPr/>
            </w:pPr>
            <w:hyperlink w:anchor="tm2627433d2_ex1-1.htm">
              <w:r>
                <w:rPr>
                  <w:rStyle w:val="InternetLink"/>
                </w:rPr>
                <w:t>Terms Agreement dated October 9, 2026 (incorporating the PepsiCo, Inc. Underwriting Agreement Standard Provisions dated as of November 18, 2019) among PepsiCo and the several underwriters named therein.</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r:id="rId2">
              <w:r>
                <w:rPr>
                  <w:rStyle w:val="InternetLink"/>
                </w:rPr>
                <w:t>1.2</w:t>
              </w:r>
            </w:hyperlink>
          </w:p>
        </w:tc>
        <w:tc>
          <w:tcPr>
            <w:tcW w:w="9847" w:type="dxa"/>
            <w:tcBorders/>
            <w:vAlign w:val="center"/>
          </w:tcPr>
          <w:p>
            <w:pPr>
              <w:pStyle w:val="TableContents"/>
              <w:bidi w:val="0"/>
              <w:spacing w:before="0" w:after="283"/>
              <w:jc w:val="left"/>
              <w:rPr/>
            </w:pPr>
            <w:hyperlink r:id="rId3">
              <w:r>
                <w:rPr>
                  <w:rStyle w:val="InternetLink"/>
                </w:rPr>
                <w:t>PepsiCo, Inc. Underwriting Agreement Standard Provisions dated as of November 18, 2019 (incorporated by reference to Exhibit 1.2 to PepsiCo’s Registration Statement on Form S-3 (File No. 333-277003) filed with the SEC on February 12, 2024).</w:t>
              </w:r>
            </w:hyperlink>
          </w:p>
        </w:tc>
      </w:tr>
    </w:tbl>
    <w:p>
      <w:pPr>
        <w:pStyle w:val="TextBody"/>
        <w:bidi w:val="0"/>
        <w:spacing w:before="0" w:after="0"/>
        <w:ind w:left="0" w:right="0" w:hanging="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32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w:anchor="tm2627433d2_ex4-1.htm">
              <w:r>
                <w:rPr>
                  <w:rStyle w:val="InternetLink"/>
                </w:rPr>
                <w:t>4.1</w:t>
              </w:r>
            </w:hyperlink>
          </w:p>
        </w:tc>
        <w:tc>
          <w:tcPr>
            <w:tcW w:w="3800" w:type="dxa"/>
            <w:tcBorders/>
            <w:vAlign w:val="center"/>
          </w:tcPr>
          <w:p>
            <w:pPr>
              <w:pStyle w:val="TableContents"/>
              <w:bidi w:val="0"/>
              <w:spacing w:before="0" w:after="283"/>
              <w:jc w:val="left"/>
              <w:rPr/>
            </w:pPr>
            <w:hyperlink w:anchor="tm2627433d2_ex4-1.htm">
              <w:r>
                <w:rPr>
                  <w:rStyle w:val="InternetLink"/>
                </w:rPr>
                <w:t>Form of 3.750% Senior Note due 2029.</w:t>
              </w:r>
            </w:hyperlink>
          </w:p>
        </w:tc>
      </w:tr>
    </w:tbl>
    <w:p>
      <w:pPr>
        <w:pStyle w:val="TextBody"/>
        <w:bidi w:val="0"/>
        <w:spacing w:before="0" w:after="0"/>
        <w:ind w:left="0" w:right="0" w:hanging="0"/>
        <w:jc w:val="left"/>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32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w:anchor="tm2627433d2_ex4-2.htm">
              <w:r>
                <w:rPr>
                  <w:rStyle w:val="InternetLink"/>
                </w:rPr>
                <w:t>4.2</w:t>
              </w:r>
            </w:hyperlink>
          </w:p>
        </w:tc>
        <w:tc>
          <w:tcPr>
            <w:tcW w:w="3800" w:type="dxa"/>
            <w:tcBorders/>
            <w:vAlign w:val="center"/>
          </w:tcPr>
          <w:p>
            <w:pPr>
              <w:pStyle w:val="TableContents"/>
              <w:bidi w:val="0"/>
              <w:spacing w:before="0" w:after="283"/>
              <w:jc w:val="left"/>
              <w:rPr/>
            </w:pPr>
            <w:hyperlink w:anchor="tm2627433d2_ex4-2.htm">
              <w:r>
                <w:rPr>
                  <w:rStyle w:val="InternetLink"/>
                </w:rPr>
                <w:t>Form of 4.250% Senior Note due 2035.</w:t>
              </w:r>
            </w:hyperlink>
          </w:p>
        </w:tc>
      </w:tr>
    </w:tbl>
    <w:p>
      <w:pPr>
        <w:pStyle w:val="TextBody"/>
        <w:bidi w:val="0"/>
        <w:spacing w:before="0" w:after="0"/>
        <w:ind w:left="0" w:right="0" w:hanging="0"/>
        <w:jc w:val="left"/>
        <w:rPr>
          <w:caps w:val="false"/>
          <w:smallCaps w:val="false"/>
        </w:rPr>
      </w:pPr>
      <w:r>
        <w:rPr>
          <w:caps w:val="false"/>
          <w:smallCaps w:val="false"/>
        </w:rPr>
        <w:t> </w:t>
      </w:r>
    </w:p>
    <w:tbl>
      <w:tblPr>
        <w:tblW w:w="4323" w:type="dxa"/>
        <w:jc w:val="left"/>
        <w:tblInd w:w="0" w:type="dxa"/>
        <w:tblLayout w:type="fixed"/>
        <w:tblCellMar>
          <w:top w:w="0" w:type="dxa"/>
          <w:left w:w="0" w:type="dxa"/>
          <w:bottom w:w="0" w:type="dxa"/>
          <w:right w:w="0" w:type="dxa"/>
        </w:tblCellMar>
      </w:tblPr>
      <w:tblGrid>
        <w:gridCol w:w="38"/>
        <w:gridCol w:w="32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w:anchor="tm2627433d2_ex5-1.htm">
              <w:r>
                <w:rPr>
                  <w:rStyle w:val="InternetLink"/>
                </w:rPr>
                <w:t>5.1</w:t>
              </w:r>
            </w:hyperlink>
          </w:p>
        </w:tc>
        <w:tc>
          <w:tcPr>
            <w:tcW w:w="3965" w:type="dxa"/>
            <w:tcBorders/>
            <w:vAlign w:val="center"/>
          </w:tcPr>
          <w:p>
            <w:pPr>
              <w:pStyle w:val="TableContents"/>
              <w:bidi w:val="0"/>
              <w:spacing w:before="0" w:after="283"/>
              <w:jc w:val="left"/>
              <w:rPr/>
            </w:pPr>
            <w:hyperlink w:anchor="tm2627433d2_ex5-1.htm">
              <w:r>
                <w:rPr>
                  <w:rStyle w:val="InternetLink"/>
                </w:rPr>
                <w:t>Opinion of Davis Polk &amp; Wardwell LLP.</w:t>
              </w:r>
            </w:hyperlink>
          </w:p>
        </w:tc>
      </w:tr>
    </w:tbl>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32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hyperlink w:anchor="tm2627433d2_ex5-2.htm">
              <w:r>
                <w:rPr>
                  <w:rStyle w:val="InternetLink"/>
                </w:rPr>
                <w:t>5.2</w:t>
              </w:r>
            </w:hyperlink>
          </w:p>
        </w:tc>
        <w:tc>
          <w:tcPr>
            <w:tcW w:w="4640" w:type="dxa"/>
            <w:tcBorders/>
            <w:vAlign w:val="center"/>
          </w:tcPr>
          <w:p>
            <w:pPr>
              <w:pStyle w:val="TableContents"/>
              <w:bidi w:val="0"/>
              <w:spacing w:before="0" w:after="283"/>
              <w:jc w:val="left"/>
              <w:rPr/>
            </w:pPr>
            <w:hyperlink w:anchor="tm2627433d2_ex5-2.htm">
              <w:r>
                <w:rPr>
                  <w:rStyle w:val="InternetLink"/>
                </w:rPr>
                <w:t>Opinion of Womble Bond Dickinson (US) LLP.</w:t>
              </w:r>
            </w:hyperlink>
          </w:p>
        </w:tc>
      </w:tr>
    </w:tbl>
    <w:p>
      <w:pPr>
        <w:pStyle w:val="TextBody"/>
        <w:bidi w:val="0"/>
        <w:spacing w:before="0" w:after="0"/>
        <w:ind w:left="0" w:right="0" w:hanging="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44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7433d2_ex5-1.htm">
              <w:r>
                <w:rPr>
                  <w:rStyle w:val="InternetLink"/>
                </w:rPr>
                <w:t>23.1</w:t>
              </w:r>
            </w:hyperlink>
          </w:p>
        </w:tc>
        <w:tc>
          <w:tcPr>
            <w:tcW w:w="6335" w:type="dxa"/>
            <w:tcBorders/>
            <w:vAlign w:val="center"/>
          </w:tcPr>
          <w:p>
            <w:pPr>
              <w:pStyle w:val="TableContents"/>
              <w:bidi w:val="0"/>
              <w:spacing w:before="0" w:after="283"/>
              <w:jc w:val="left"/>
              <w:rPr/>
            </w:pPr>
            <w:hyperlink w:anchor="tm2627433d2_ex5-1.htm">
              <w:r>
                <w:rPr>
                  <w:rStyle w:val="InternetLink"/>
                </w:rPr>
                <w:t>Consent of Davis Polk &amp; Wardwell LLP (included in Exhibit 5.1).</w:t>
              </w:r>
            </w:hyperlink>
          </w:p>
        </w:tc>
      </w:tr>
    </w:tbl>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440"/>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hyperlink w:anchor="tm2627433d2_ex5-2.htm">
              <w:r>
                <w:rPr>
                  <w:rStyle w:val="InternetLink"/>
                </w:rPr>
                <w:t>23.2</w:t>
              </w:r>
            </w:hyperlink>
          </w:p>
        </w:tc>
        <w:tc>
          <w:tcPr>
            <w:tcW w:w="7010" w:type="dxa"/>
            <w:tcBorders/>
            <w:vAlign w:val="center"/>
          </w:tcPr>
          <w:p>
            <w:pPr>
              <w:pStyle w:val="TableContents"/>
              <w:bidi w:val="0"/>
              <w:spacing w:before="0" w:after="283"/>
              <w:jc w:val="left"/>
              <w:rPr/>
            </w:pPr>
            <w:hyperlink w:anchor="tm2627433d2_ex5-2.htm">
              <w:r>
                <w:rPr>
                  <w:rStyle w:val="InternetLink"/>
                </w:rPr>
                <w:t>Consent of Womble Bond Dickinson (US) LLP (included in Exhibit 5.2).</w:t>
              </w:r>
            </w:hyperlink>
          </w:p>
        </w:tc>
      </w:tr>
    </w:tbl>
    <w:p>
      <w:pPr>
        <w:pStyle w:val="TextBody"/>
        <w:bidi w:val="0"/>
        <w:spacing w:before="0" w:after="0"/>
        <w:ind w:left="0" w:right="0" w:hanging="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38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104</w:t>
            </w:r>
          </w:p>
        </w:tc>
        <w:tc>
          <w:tcPr>
            <w:tcW w:w="7835" w:type="dxa"/>
            <w:tcBorders/>
            <w:vAlign w:val="center"/>
          </w:tcPr>
          <w:p>
            <w:pPr>
              <w:pStyle w:val="TableContents"/>
              <w:bidi w:val="0"/>
              <w:spacing w:before="0" w:after="283"/>
              <w:jc w:val="left"/>
              <w:rPr/>
            </w:pPr>
            <w:r>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495" w:type="dxa"/>
        <w:jc w:val="left"/>
        <w:tblInd w:w="0" w:type="dxa"/>
        <w:tblLayout w:type="fixed"/>
        <w:tblCellMar>
          <w:top w:w="0" w:type="dxa"/>
          <w:left w:w="0" w:type="dxa"/>
          <w:bottom w:w="0" w:type="dxa"/>
          <w:right w:w="0" w:type="dxa"/>
        </w:tblCellMar>
      </w:tblPr>
      <w:tblGrid>
        <w:gridCol w:w="1925"/>
        <w:gridCol w:w="320"/>
        <w:gridCol w:w="545"/>
        <w:gridCol w:w="57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16, 2026</w:t>
            </w:r>
          </w:p>
        </w:tc>
        <w:tc>
          <w:tcPr>
            <w:tcW w:w="657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PepsiCo, Inc.</w:t>
            </w:r>
          </w:p>
        </w:tc>
      </w:tr>
      <w:tr>
        <w:trPr/>
        <w:tc>
          <w:tcPr>
            <w:tcW w:w="1925" w:type="dxa"/>
            <w:tcBorders/>
            <w:vAlign w:val="center"/>
          </w:tcPr>
          <w:p>
            <w:pPr>
              <w:pStyle w:val="TableContents"/>
              <w:bidi w:val="0"/>
              <w:spacing w:before="0" w:after="283"/>
              <w:jc w:val="left"/>
              <w:rPr/>
            </w:pPr>
            <w:r>
              <w:rPr/>
              <w:t> </w:t>
            </w:r>
          </w:p>
        </w:tc>
        <w:tc>
          <w:tcPr>
            <w:tcW w:w="6570" w:type="dxa"/>
            <w:gridSpan w:val="3"/>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2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Cynthia A. Nastanski</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Cynthia A. Nastanski</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7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Corporate Law and Deputy Corporate Secretary</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jc w:val="right"/>
        <w:rPr>
          <w:b/>
        </w:rPr>
      </w:pPr>
      <w:bookmarkStart w:id="70" w:name="tm2627433d2_ex1-1.htm"/>
      <w:bookmarkStart w:id="71" w:name="kstm2627433d2_ex11"/>
      <w:bookmarkEnd w:id="70"/>
      <w:bookmarkEnd w:id="71"/>
      <w:r>
        <w:rPr>
          <w:b/>
        </w:rPr>
        <w:t>Exhibit 1.1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PEPSICO,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 Senior Notes due 2029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 Senior Notes due 2035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1161"/>
        <w:gridCol w:w="8919"/>
      </w:tblGrid>
      <w:tr>
        <w:trPr/>
        <w:tc>
          <w:tcPr>
            <w:tcW w:w="12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To:</w:t>
            </w:r>
          </w:p>
        </w:tc>
        <w:tc>
          <w:tcPr>
            <w:tcW w:w="8919" w:type="dxa"/>
            <w:tcBorders/>
            <w:vAlign w:val="center"/>
          </w:tcPr>
          <w:p>
            <w:pPr>
              <w:pStyle w:val="TableContents"/>
              <w:bidi w:val="0"/>
              <w:spacing w:before="0" w:after="283"/>
              <w:jc w:val="left"/>
              <w:rPr/>
            </w:pPr>
            <w:r>
              <w:rPr/>
              <w:t>PepsiCo, Inc.</w:t>
              <w:br/>
              <w:t>700 Anderson Hill Road</w:t>
              <w:br/>
              <w:t>Purchase, New York 10577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PepsiCo, Inc., a North Carolina corporation (the “Company”), proposes to issue and sell €500,000,000 of its 3.750% Senior Notes due 2029 (the “2029 Notes”) and €500,000,000 of its 4.250% Senior Notes due 2035 (the “2035 Notes,” and together with the 2029 Notes, the “Underwritten Securities”), subject to the terms and conditions stated herein and in the PepsiCo, Inc. Underwriting Agreement Standard Provisions dated as of November 18, 2019 incorporated by reference to Exhibit 1.2 to the Company’s Registration Statement on Form S-3 (File No. 333-277003) filed with the Securities and Exchange Commission on February 12, 2024 (the “Standard Provisions”). Each of the applicable provisions in the Standard Provisions (including defined terms) is incorporated herein by reference in its entirety, and shall be deemed to be a part of this Agreement to the same extent as if such provisions had been set forth in full herein. We, the underwriters named below (the “Underwriters”), offer to purchase, severally and not jointly, the amount of Underwritten Securities opposite our names set forth below at a purchase price equal to 99.728% of the principal amount thereof for the 2029 Notes and 99.399% of the principal amount thereof for the 2035 Notes.</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2945"/>
        <w:gridCol w:w="60"/>
        <w:gridCol w:w="140"/>
        <w:gridCol w:w="1055"/>
        <w:gridCol w:w="60"/>
        <w:gridCol w:w="60"/>
        <w:gridCol w:w="140"/>
        <w:gridCol w:w="1055"/>
        <w:gridCol w:w="75"/>
      </w:tblGrid>
      <w:tr>
        <w:trPr/>
        <w:tc>
          <w:tcPr>
            <w:tcW w:w="29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510"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 Notes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9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2035 Notes</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London Branch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Bank plc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16,667,000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Loop Capital Markets LLC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16,667,000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16,666,000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500,000,000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500,000,000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agree to reimburse the Company for €450,000 of its expenses incurred in connection with the offering of the Underwritten Securities; such reimbursement to occur simultaneously with the purchase and sale of the Underwritten Securities at the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9(a)(vii) of the Standard Provisions shall apply to the Underwritten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9(c) of the Standard Provisions shall apply to this Agreement, as amended and restated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applicable Terms Agreement specifically provides that this Section 9(c) shall apply to such Terms Agreement, then the Company hereby authorizes the Stabilizing Manager named in such Terms Agreement in its role as stabilizing manager (the “Stabilizing Manager”) to make adequate public disclosure regarding stabilization of the information required in relation to such stabilization. The Stabilizing Manager (or persons acting on behalf of the Stabilizing Manager), may over-allot Underwritten Securities or effect transactions with a view to supporting the prices of the Underwritten Securities at levels higher than those which might otherwise prevail. However, there is no assurance that the Stabilizing Manager (or persons acting on behalf of the Stabilizing Manager) will undertake stabilization action. Any stabilization action may begin on or after the date on which adequate public disclosure of the terms of the Underwritten Securities is made and, if begun, may be ended at any time, but it must end no later than the earlier of 30 calendar days after the date on which the Company received the proceeds of the issue and 60 calendar days after the date of the allotment of the Underwritten Securities. Such stabilization shall be conducted in accordance with all applicable laws and rules. Any loss or profit sustained as a consequence of any such over-allotment or stabilization shall be for the account of the Stabilizing Manager. Nothing contained in this paragraph (c) shall be construed so as to require the Company to issue in excess of the aggregate principal amount of Underwritten Securities specifically set forth in the applicable Terms Agreement.</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9(d) and (e) of the Standard Provisions shall apply to this Agreement. The Stabilizing Manager is Deutsche Bank AG, London Branch. The Manufacturer is Deutsche Bank AG, London Branch.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9(f) of the Standard Provisions shall apply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(g) is added to Section 9 of the Standard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Solely for the purposes of the requirements of 3.2.7R of the FCA Handbook Product Intervention and Product Governance Sourcebook (the “UK MiFIR Product Governance Rules”) regarding the mutual responsibilities of manufacturers under the UK MiFIR Product Governance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Deutsche Bank AG, London Branch and HSBC Bank plc (each a “UK Manufacturer” and together the “UK Manufacturers”) acknowledges to each other UK Manufacturer that it understands the responsibilities conferred upon it under the UK MiFIR Product Governance Rules relating to each of the product approval process, the target market and the proposed distribution channels as applying to the Underwritten Securities and the related information set out in the Prospectus and announcements in connection with the Underwritten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other Underwriters note the application of the UK MiFIR Product Governance Rules and acknowledge the target market and distribution channels identified as applying to the Underwritten Securities by the UK Manufacturers and the related information set out in the Prospectus and announcements in connection with the Underwritten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Subsection (h) is added to Section 9 of the Standard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and to the exclusion of any other term of this Agreement or any other agreements, arrangements or understanding between the relevant Underwriter and the Company, the Company acknowledges and accepts that a UK Bail-In Liability arising under this Agreement may be subject to the exercise of UK Bail-In Powers by the relevant UK resolution authority, and acknowledges, accepts,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effect of the exercise of UK Bail-In Powers by the relevant UK resolution authority in relation to any UK Bail-In Liability of any relevant Underwriter to the Company under this Agreement, that (without limitation) may include and result in any of the following, or some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reduction of all, or a portion, of the UK Bail-In Liability or outstanding amounts due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conversion of all, or a portion, of the UK Bail-In Liability into shares, other securities or other obligations of any relevant Underwriter or another person (and the issue to or conferral on the Company of such shares, securities or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cancellation of the UK Bail-In Liability;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amendment or alteration of any interest, if applicable, thereon, the maturity or the dates on which any payments are due, including by suspending payment for a temporary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variation of the terms of this Agreement, as deemed necessary by the relevant UK resolution authority, to give effect to the exercise of UK Bail-in Powers by the relevant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9(h) of the Standard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UK Bail-In Legislation</w:t>
      </w:r>
      <w:r>
        <w:rPr>
          <w:rFonts w:ascii="Times New Roman;Times;Serif" w:hAnsi="Times New Roman;Times;Serif"/>
          <w:b w:val="false"/>
          <w:i w:val="false"/>
          <w:caps w:val="false"/>
          <w:smallCaps w:val="false"/>
          <w:sz w:val="20"/>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UK Bail-In Liability</w:t>
      </w:r>
      <w:r>
        <w:rPr>
          <w:rFonts w:ascii="Times New Roman;Times;Serif" w:hAnsi="Times New Roman;Times;Serif"/>
          <w:b w:val="false"/>
          <w:i w:val="false"/>
          <w:caps w:val="false"/>
          <w:smallCaps w:val="false"/>
          <w:sz w:val="20"/>
        </w:rPr>
        <w:t>” means a liability in respect of which the UK Bail-In Powers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UK Bail-in Powers</w:t>
      </w:r>
      <w:r>
        <w:rPr>
          <w:rFonts w:ascii="Times New Roman;Times;Serif" w:hAnsi="Times New Roman;Times;Serif"/>
          <w:b w:val="false"/>
          <w:i w:val="false"/>
          <w:caps w:val="false"/>
          <w:smallCaps w:val="false"/>
          <w:sz w:val="20"/>
        </w:rPr>
        <w:t>” means the powers under the UK Bail-In Legislation to cancel, transfer or dilute shares issued by a person that is a bank or investment firm or affiliate of a bank or investment firm,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21 of the Standard Provisions, the identified provisions are: (i) the fifth paragraph of text under the caption “Underwriting” in such preliminary prospectus, Time of Sale Prospectus and the Prospectus; (ii) the fourth sentence of the seventh paragraph of text under the caption “Underwriting” in such preliminary prospectus, Time of Sale Prospectus and the Prospectus; (iii) the eighth paragraph of text under the caption “Underwriting” in such preliminary prospectus, Time of Sale Prospectus and the Prospectus; (iv) the eleventh and twelfth paragraphs of text under the caption “Underwriting” in such preliminary prospectus, Time of Sale Prospectus and the Prospectus; and (v) the first and second full paragraphs of text on page S-2 in such preliminary prospectus,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 of any signatory to this Agreement may be manual or facsimile (including, for the avoidance of doubt, electronic).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Underwritten Securities and the offering thereof shall have the following additional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252" w:type="dxa"/>
          <w:bottom w:w="28" w:type="dxa"/>
          <w:right w:w="108" w:type="dxa"/>
        </w:tblCellMar>
      </w:tblPr>
      <w:tblGrid>
        <w:gridCol w:w="1659"/>
        <w:gridCol w:w="8546"/>
      </w:tblGrid>
      <w:tr>
        <w:trPr/>
        <w:tc>
          <w:tcPr>
            <w:tcW w:w="165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Issuer:</w:t>
            </w:r>
          </w:p>
        </w:tc>
        <w:tc>
          <w:tcPr>
            <w:tcW w:w="854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PepsiCo, Inc.</w:t>
            </w:r>
          </w:p>
        </w:tc>
      </w:tr>
      <w:tr>
        <w:trPr/>
        <w:tc>
          <w:tcPr>
            <w:tcW w:w="16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Trade Date:</w:t>
            </w:r>
          </w:p>
        </w:tc>
        <w:tc>
          <w:tcPr>
            <w:tcW w:w="854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9, 2026</w:t>
            </w:r>
          </w:p>
        </w:tc>
      </w:tr>
      <w:tr>
        <w:trPr/>
        <w:tc>
          <w:tcPr>
            <w:tcW w:w="16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of Sale:</w:t>
            </w:r>
          </w:p>
        </w:tc>
        <w:tc>
          <w:tcPr>
            <w:tcW w:w="854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12:15 p.m. New York time on the Trade Date</w:t>
            </w:r>
          </w:p>
        </w:tc>
      </w:tr>
      <w:tr>
        <w:trPr/>
        <w:tc>
          <w:tcPr>
            <w:tcW w:w="16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Date (T+4):</w:t>
            </w:r>
          </w:p>
        </w:tc>
        <w:tc>
          <w:tcPr>
            <w:tcW w:w="854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16, 2026</w:t>
            </w:r>
          </w:p>
        </w:tc>
      </w:tr>
      <w:tr>
        <w:trPr/>
        <w:tc>
          <w:tcPr>
            <w:tcW w:w="16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Time:</w:t>
            </w:r>
          </w:p>
        </w:tc>
        <w:tc>
          <w:tcPr>
            <w:tcW w:w="854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6:00 a.m. New York time on the Settlement Date</w:t>
            </w:r>
          </w:p>
        </w:tc>
      </w:tr>
      <w:tr>
        <w:trPr/>
        <w:tc>
          <w:tcPr>
            <w:tcW w:w="16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Location:</w:t>
            </w:r>
          </w:p>
        </w:tc>
        <w:tc>
          <w:tcPr>
            <w:tcW w:w="8546"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New York, New York</w:t>
            </w:r>
          </w:p>
        </w:tc>
      </w:tr>
      <w:tr>
        <w:trPr/>
        <w:tc>
          <w:tcPr>
            <w:tcW w:w="165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of Sale Prospectus:</w:t>
            </w:r>
          </w:p>
        </w:tc>
        <w:tc>
          <w:tcPr>
            <w:tcW w:w="854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 prospectus dated February 12, 2024, preliminary prospectus supplement dated October 9, 2026 and free writing prospectus dated October 9, 2026</w:t>
            </w:r>
          </w:p>
        </w:tc>
      </w:tr>
    </w:tbl>
    <w:tbl>
      <w:tblPr>
        <w:tblW w:w="10205" w:type="dxa"/>
        <w:jc w:val="left"/>
        <w:tblInd w:w="-10" w:type="dxa"/>
        <w:tblLayout w:type="fixed"/>
        <w:tblCellMar>
          <w:top w:w="0" w:type="dxa"/>
          <w:left w:w="252" w:type="dxa"/>
          <w:bottom w:w="28" w:type="dxa"/>
          <w:right w:w="108" w:type="dxa"/>
        </w:tblCellMar>
      </w:tblPr>
      <w:tblGrid>
        <w:gridCol w:w="2271"/>
        <w:gridCol w:w="3993"/>
        <w:gridCol w:w="3941"/>
      </w:tblGrid>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Title of Securities:</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3.750% Senior Notes due 2029 </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4.250% Senior Notes due 2035 </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Principal Amount Offered:</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w:t>
            </w:r>
            <w:r>
              <w:rPr>
                <w:rFonts w:ascii="Times New Roman;Times;Serif" w:hAnsi="Times New Roman;Times;Serif"/>
                <w:sz w:val="20"/>
              </w:rPr>
              <w:t>500,000,000</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pPr>
            <w:r>
              <w:rPr/>
              <w:t>€</w:t>
            </w:r>
            <w:r>
              <w:rPr>
                <w:rFonts w:ascii="Times New Roman;Times;Serif" w:hAnsi="Times New Roman;Times;Serif"/>
                <w:sz w:val="20"/>
              </w:rPr>
              <w:t>500,000,000</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Date:</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2029</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October 16, 2035</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Annually in arrears on each October 16, commencing October 16, 2027</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Annually in arrears on each October 16, commencing October 16, 2027</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Bund:</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DBR 0.000% due August 15, 2029</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DBR 2.600% due August 15, 2035</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Benchmark Bund Yield:</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3.122%</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3.432%</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Benchmark Bund:</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rFonts w:ascii="Times New Roman;Times;Serif" w:hAnsi="Times New Roman;Times;Serif"/>
                <w:caps/>
                <w:sz w:val="20"/>
              </w:rPr>
              <w:t>+64.5</w:t>
            </w:r>
            <w:r>
              <w:rPr/>
              <w:t xml:space="preserve"> </w:t>
            </w:r>
            <w:r>
              <w:rPr>
                <w:rFonts w:ascii="Times New Roman;Times;Serif" w:hAnsi="Times New Roman;Times;Serif"/>
                <w:sz w:val="20"/>
              </w:rPr>
              <w:t>basis points</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pPr>
            <w:r>
              <w:rPr>
                <w:rFonts w:ascii="Times New Roman;Times;Serif" w:hAnsi="Times New Roman;Times;Serif"/>
                <w:caps/>
                <w:sz w:val="20"/>
              </w:rPr>
              <w:t>+84.2</w:t>
            </w:r>
            <w:r>
              <w:rPr/>
              <w:t xml:space="preserve"> </w:t>
            </w:r>
            <w:r>
              <w:rPr>
                <w:rFonts w:ascii="Times New Roman;Times;Serif" w:hAnsi="Times New Roman;Times;Serif"/>
                <w:sz w:val="20"/>
              </w:rPr>
              <w:t>basis points</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Mid-Swap Yield:</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3.437%</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3.544%</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Spread to Mid-Swap:</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rFonts w:ascii="Times New Roman;Times;Serif" w:hAnsi="Times New Roman;Times;Serif"/>
                <w:caps/>
                <w:sz w:val="20"/>
              </w:rPr>
              <w:t>+33</w:t>
            </w:r>
            <w:r>
              <w:rPr/>
              <w:t xml:space="preserve"> </w:t>
            </w:r>
            <w:r>
              <w:rPr>
                <w:rFonts w:ascii="Times New Roman;Times;Serif" w:hAnsi="Times New Roman;Times;Serif"/>
                <w:sz w:val="20"/>
              </w:rPr>
              <w:t>basis points</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pPr>
            <w:r>
              <w:rPr>
                <w:rFonts w:ascii="Times New Roman;Times;Serif" w:hAnsi="Times New Roman;Times;Serif"/>
                <w:caps/>
                <w:sz w:val="20"/>
              </w:rPr>
              <w:t>+73</w:t>
            </w:r>
            <w:r>
              <w:rPr/>
              <w:t xml:space="preserve"> </w:t>
            </w:r>
            <w:r>
              <w:rPr>
                <w:rFonts w:ascii="Times New Roman;Times;Serif" w:hAnsi="Times New Roman;Times;Serif"/>
                <w:sz w:val="20"/>
              </w:rPr>
              <w:t>basis points</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Reoffer Yield:</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3.767%</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4.274%</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Coupon:</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3.750%</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4.250%</w:t>
            </w:r>
          </w:p>
        </w:tc>
      </w:tr>
      <w:tr>
        <w:trPr/>
        <w:tc>
          <w:tcPr>
            <w:tcW w:w="2271"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Price to Public:</w:t>
            </w:r>
          </w:p>
        </w:tc>
        <w:tc>
          <w:tcPr>
            <w:tcW w:w="399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99.953%</w:t>
            </w:r>
          </w:p>
        </w:tc>
        <w:tc>
          <w:tcPr>
            <w:tcW w:w="3941"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99.824%</w:t>
            </w:r>
          </w:p>
        </w:tc>
      </w:tr>
    </w:tbl>
    <w:tbl>
      <w:tblPr>
        <w:tblW w:w="10205" w:type="dxa"/>
        <w:jc w:val="left"/>
        <w:tblInd w:w="-10" w:type="dxa"/>
        <w:tblLayout w:type="fixed"/>
        <w:tblCellMar>
          <w:top w:w="0" w:type="dxa"/>
          <w:left w:w="252" w:type="dxa"/>
          <w:bottom w:w="28" w:type="dxa"/>
          <w:right w:w="108" w:type="dxa"/>
        </w:tblCellMar>
      </w:tblPr>
      <w:tblGrid>
        <w:gridCol w:w="1255"/>
        <w:gridCol w:w="8950"/>
      </w:tblGrid>
      <w:tr>
        <w:trPr/>
        <w:tc>
          <w:tcPr>
            <w:tcW w:w="1255" w:type="dxa"/>
            <w:tcBorders>
              <w:left w:val="single" w:sz="8" w:space="0" w:color="000000"/>
              <w:bottom w:val="single" w:sz="8" w:space="0" w:color="000000"/>
              <w:right w:val="single" w:sz="8" w:space="0" w:color="000000"/>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Redemption for Tax Reasons:</w:t>
            </w:r>
          </w:p>
        </w:tc>
        <w:tc>
          <w:tcPr>
            <w:tcW w:w="89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may redeem all, but not less than all, of the Underwritten Securities in the event of certain changes in the tax laws of the United States (or any taxing authority in the United States). This redemption would be at a redemption price equal to 100% of the principal amount, together with accrued and unpaid interest on the Underwritten Securities to, but not including, the date fixed for redemption.</w:t>
            </w:r>
          </w:p>
        </w:tc>
      </w:tr>
    </w:tbl>
    <w:tbl>
      <w:tblPr>
        <w:tblW w:w="10205" w:type="dxa"/>
        <w:jc w:val="left"/>
        <w:tblInd w:w="-10" w:type="dxa"/>
        <w:tblLayout w:type="fixed"/>
        <w:tblCellMar>
          <w:top w:w="0" w:type="dxa"/>
          <w:left w:w="252" w:type="dxa"/>
          <w:bottom w:w="28" w:type="dxa"/>
          <w:right w:w="108" w:type="dxa"/>
        </w:tblCellMar>
      </w:tblPr>
      <w:tblGrid>
        <w:gridCol w:w="1645"/>
        <w:gridCol w:w="4461"/>
        <w:gridCol w:w="4099"/>
      </w:tblGrid>
      <w:tr>
        <w:trPr/>
        <w:tc>
          <w:tcPr>
            <w:tcW w:w="1645" w:type="dxa"/>
            <w:tcBorders>
              <w:left w:val="single" w:sz="8" w:space="0" w:color="000000"/>
              <w:bottom w:val="single" w:sz="8" w:space="0" w:color="000000"/>
              <w:right w:val="single" w:sz="8" w:space="0" w:color="000000"/>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Optional Redemption:</w:t>
            </w:r>
          </w:p>
        </w:tc>
        <w:tc>
          <w:tcPr>
            <w:tcW w:w="4461"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September 16, 2029, make-whole call at comparable government bond rate plus 10 basis points; par call at any time on or after September 16, 2029.</w:t>
            </w:r>
          </w:p>
        </w:tc>
        <w:tc>
          <w:tcPr>
            <w:tcW w:w="4099" w:type="dxa"/>
            <w:tcBorders>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Prior to July 16, 2035, make-whole call at comparable government bond rate plus 15 basis points; par call at any time on or after July 16, 2035.</w:t>
            </w:r>
          </w:p>
        </w:tc>
      </w:tr>
      <w:tr>
        <w:trPr/>
        <w:tc>
          <w:tcPr>
            <w:tcW w:w="164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Proceeds to PepsiCo (Before Expenses):</w:t>
            </w:r>
          </w:p>
        </w:tc>
        <w:tc>
          <w:tcPr>
            <w:tcW w:w="4461"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w:t>
            </w:r>
            <w:r>
              <w:rPr>
                <w:rFonts w:ascii="Times New Roman;Times;Serif" w:hAnsi="Times New Roman;Times;Serif"/>
                <w:sz w:val="20"/>
              </w:rPr>
              <w:t>498,640,000</w:t>
            </w:r>
          </w:p>
        </w:tc>
        <w:tc>
          <w:tcPr>
            <w:tcW w:w="4099"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w:t>
            </w:r>
            <w:r>
              <w:rPr>
                <w:rFonts w:ascii="Times New Roman;Times;Serif" w:hAnsi="Times New Roman;Times;Serif"/>
                <w:sz w:val="20"/>
              </w:rPr>
              <w:t>496,995,000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40" w:type="dxa"/>
          <w:left w:w="252" w:type="dxa"/>
          <w:bottom w:w="40" w:type="dxa"/>
          <w:right w:w="108" w:type="dxa"/>
        </w:tblCellMar>
      </w:tblPr>
      <w:tblGrid>
        <w:gridCol w:w="1550"/>
        <w:gridCol w:w="4043"/>
        <w:gridCol w:w="4612"/>
      </w:tblGrid>
      <w:tr>
        <w:trPr/>
        <w:tc>
          <w:tcPr>
            <w:tcW w:w="15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Use of Proceeds:</w:t>
            </w:r>
          </w:p>
        </w:tc>
        <w:tc>
          <w:tcPr>
            <w:tcW w:w="865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The issuer intends to use the net proceeds from this offering for general corporate purposes, including the repayment of commercial paper.</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Day Count Fraction:</w:t>
            </w:r>
          </w:p>
        </w:tc>
        <w:tc>
          <w:tcPr>
            <w:tcW w:w="865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ACTUAL / ACTUAL (ICMA)</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ISIN / Common Code:</w:t>
            </w:r>
          </w:p>
        </w:tc>
        <w:tc>
          <w:tcPr>
            <w:tcW w:w="40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713448 GS1 / XS3541074905 / 354107490</w:t>
            </w:r>
          </w:p>
        </w:tc>
        <w:tc>
          <w:tcPr>
            <w:tcW w:w="4612"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left"/>
              <w:rPr/>
            </w:pPr>
            <w:r>
              <w:rPr/>
              <w:t>713448 GT9 / XS3541075381 / 354107538</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Currency of Payment:</w:t>
            </w:r>
          </w:p>
        </w:tc>
        <w:tc>
          <w:tcPr>
            <w:tcW w:w="865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All payments of interest and principal, including payments made upon any redemption of the Underwritten Securities, will be payable in euro. If, on or after the issuance of the Underwritten Securities, the euro is unavailable to the issuer due to the imposition of exchange controls or other circumstances beyond the issuer’s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Underwritten Securities will be made in U.S. dollars until the euro is again available to the issuer and so used.</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Amounts:</w:t>
            </w:r>
          </w:p>
        </w:tc>
        <w:tc>
          <w:tcPr>
            <w:tcW w:w="865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The issuer will, subject to certain exceptions and limitations, pay as additional interest on the Underwritten Securities such additional amounts as are necessary in order that the net payment by the issuer of the principal of and interest on the Underwritten Securities to a holder who is not a United States person, after withholding or deduction for any present or future tax, assessment or other governmental charge imposed by the United States or a taxing authority in the United States, will not be less than the amount provided in the Underwritten Securities then due and payable.</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Listing:</w:t>
            </w:r>
          </w:p>
        </w:tc>
        <w:tc>
          <w:tcPr>
            <w:tcW w:w="865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 xml:space="preserve">The issuer intends to apply to list the Underwritten Securities on the Nasdaq Bond Exchange and expects trading in the Underwritten Securities to begin within 30 days after the date of their issuance. </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Minimum Denomination:</w:t>
            </w:r>
          </w:p>
        </w:tc>
        <w:tc>
          <w:tcPr>
            <w:tcW w:w="865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18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100,000 and integral multiples of €1,000</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Book-Running Managers:</w:t>
            </w:r>
          </w:p>
        </w:tc>
        <w:tc>
          <w:tcPr>
            <w:tcW w:w="865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Deutsche Bank AG, London Branch</w:t>
              <w:br/>
              <w:t>HSBC Bank plc</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Co-Managers:</w:t>
            </w:r>
          </w:p>
        </w:tc>
        <w:tc>
          <w:tcPr>
            <w:tcW w:w="865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Loop Capital Markets LLC</w:t>
            </w:r>
          </w:p>
          <w:p>
            <w:pPr>
              <w:pStyle w:val="TableContents"/>
              <w:bidi w:val="0"/>
              <w:spacing w:before="0" w:after="0"/>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tc>
      </w:tr>
      <w:tr>
        <w:trPr/>
        <w:tc>
          <w:tcPr>
            <w:tcW w:w="15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to the Representatives:</w:t>
            </w:r>
          </w:p>
        </w:tc>
        <w:tc>
          <w:tcPr>
            <w:tcW w:w="8655"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AG, London Branch</w:t>
              <w:br/>
              <w:t>21 Moorfields</w:t>
              <w:br/>
              <w:t>London EC2Y 9DB</w:t>
              <w:br/>
              <w:t>United Kingdom</w:t>
              <w:br/>
              <w:t>Tel: +44 207 545 4361</w:t>
              <w:br/>
              <w:t>Attention: DCM Debt Syndicate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Bank plc</w:t>
              <w:br/>
              <w:t>8 Canada Square</w:t>
              <w:br/>
              <w:t>London E14 5HQ</w:t>
              <w:br/>
              <w:t>United Kingdom</w:t>
              <w:br/>
              <w:t>Tel: +44 20 7991 8888</w:t>
              <w:br/>
              <w:t>Email: transaction.management@hsbcib.com</w:t>
              <w:br/>
              <w:t>Attention:  Head of DCM Legal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Terms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75"/>
        <w:gridCol w:w="320"/>
        <w:gridCol w:w="545"/>
        <w:gridCol w:w="4325"/>
      </w:tblGrid>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PEPSICO, INC.</w:t>
            </w:r>
          </w:p>
        </w:tc>
      </w:tr>
      <w:tr>
        <w:trPr/>
        <w:tc>
          <w:tcPr>
            <w:tcW w:w="75" w:type="dxa"/>
            <w:tcBorders/>
            <w:vAlign w:val="center"/>
          </w:tcPr>
          <w:p>
            <w:pPr>
              <w:pStyle w:val="TableContents"/>
              <w:bidi w:val="0"/>
              <w:spacing w:before="0" w:after="283"/>
              <w:jc w:val="left"/>
              <w:rPr/>
            </w:pPr>
            <w:r>
              <w:rPr/>
              <w:t> </w:t>
            </w:r>
          </w:p>
        </w:tc>
        <w:tc>
          <w:tcPr>
            <w:tcW w:w="519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Schmitt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Stephen Schmitt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325" w:type="dxa"/>
            <w:tcBorders/>
            <w:vAlign w:val="center"/>
          </w:tcPr>
          <w:p>
            <w:pPr>
              <w:pStyle w:val="TableContents"/>
              <w:bidi w:val="0"/>
              <w:spacing w:before="0" w:after="283"/>
              <w:jc w:val="left"/>
              <w:rPr>
                <w:sz w:val="20"/>
              </w:rPr>
            </w:pPr>
            <w:r>
              <w:rPr>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8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 Cheng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Ada Cheng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325" w:type="dxa"/>
            <w:tcBorders/>
            <w:vAlign w:val="center"/>
          </w:tcPr>
          <w:p>
            <w:pPr>
              <w:pStyle w:val="TableContents"/>
              <w:bidi w:val="0"/>
              <w:spacing w:before="0" w:after="283"/>
              <w:jc w:val="left"/>
              <w:rPr>
                <w:sz w:val="20"/>
              </w:rPr>
            </w:pPr>
            <w:r>
              <w:rPr>
                <w:sz w:val="20"/>
              </w:rPr>
              <w:t>Senior Vice President, Finance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380"/>
        <w:gridCol w:w="8705"/>
        <w:gridCol w:w="75"/>
      </w:tblGrid>
      <w:tr>
        <w:trPr/>
        <w:tc>
          <w:tcPr>
            <w:tcW w:w="380" w:type="dxa"/>
            <w:tcBorders/>
            <w:vAlign w:val="center"/>
          </w:tcPr>
          <w:p>
            <w:pPr>
              <w:pStyle w:val="TableContents"/>
              <w:bidi w:val="0"/>
              <w:spacing w:before="0" w:after="283"/>
              <w:jc w:val="left"/>
              <w:rPr/>
            </w:pPr>
            <w:r>
              <w:rPr/>
              <w:t>By:</w:t>
            </w:r>
          </w:p>
        </w:tc>
        <w:tc>
          <w:tcPr>
            <w:tcW w:w="8705" w:type="dxa"/>
            <w:tcBorders/>
            <w:vAlign w:val="center"/>
          </w:tcPr>
          <w:p>
            <w:pPr>
              <w:pStyle w:val="TableContents"/>
              <w:bidi w:val="0"/>
              <w:spacing w:before="0" w:after="283"/>
              <w:jc w:val="left"/>
              <w:rPr/>
            </w:pPr>
            <w:r>
              <w:rPr/>
              <w:t>Deutsche Bank AG, London Branch in its capacity as Underwriter and Stabilizing Manager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85" w:type="dxa"/>
        <w:jc w:val="left"/>
        <w:tblInd w:w="0" w:type="dxa"/>
        <w:tblLayout w:type="fixed"/>
        <w:tblCellMar>
          <w:top w:w="0" w:type="dxa"/>
          <w:left w:w="0" w:type="dxa"/>
          <w:bottom w:w="0" w:type="dxa"/>
          <w:right w:w="0" w:type="dxa"/>
        </w:tblCellMar>
      </w:tblPr>
      <w:tblGrid>
        <w:gridCol w:w="75"/>
        <w:gridCol w:w="365"/>
        <w:gridCol w:w="650"/>
        <w:gridCol w:w="1820"/>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bottom w:w="28" w:type="dxa"/>
            </w:tcMar>
            <w:vAlign w:val="center"/>
          </w:tcPr>
          <w:p>
            <w:pPr>
              <w:pStyle w:val="TableContents"/>
              <w:bidi w:val="0"/>
              <w:spacing w:before="0" w:after="283"/>
              <w:jc w:val="left"/>
              <w:rPr/>
            </w:pPr>
            <w:r>
              <w:rPr/>
              <w:t>/s/ Kevin Prior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20" w:type="dxa"/>
            <w:tcBorders/>
            <w:vAlign w:val="center"/>
          </w:tcPr>
          <w:p>
            <w:pPr>
              <w:pStyle w:val="TableContents"/>
              <w:bidi w:val="0"/>
              <w:spacing w:before="0" w:after="283"/>
              <w:jc w:val="left"/>
              <w:rPr/>
            </w:pPr>
            <w:r>
              <w:rPr/>
              <w:t>Kevin Prior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20"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470" w:type="dxa"/>
            <w:gridSpan w:val="2"/>
            <w:tcBorders>
              <w:bottom w:val="single" w:sz="8" w:space="0" w:color="000000"/>
            </w:tcBorders>
            <w:tcMar>
              <w:bottom w:w="28" w:type="dxa"/>
            </w:tcMar>
            <w:vAlign w:val="center"/>
          </w:tcPr>
          <w:p>
            <w:pPr>
              <w:pStyle w:val="TableContents"/>
              <w:bidi w:val="0"/>
              <w:spacing w:before="0" w:after="283"/>
              <w:jc w:val="left"/>
              <w:rPr/>
            </w:pPr>
            <w:r>
              <w:rPr/>
              <w:t>/s/ John Han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820" w:type="dxa"/>
            <w:tcBorders/>
            <w:vAlign w:val="center"/>
          </w:tcPr>
          <w:p>
            <w:pPr>
              <w:pStyle w:val="TableContents"/>
              <w:bidi w:val="0"/>
              <w:spacing w:before="0" w:after="283"/>
              <w:jc w:val="left"/>
              <w:rPr/>
            </w:pPr>
            <w:r>
              <w:rPr/>
              <w:t>John Han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820"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335"/>
        <w:gridCol w:w="131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Bank plc</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210" w:type="dxa"/>
        <w:jc w:val="left"/>
        <w:tblInd w:w="0" w:type="dxa"/>
        <w:tblLayout w:type="fixed"/>
        <w:tblCellMar>
          <w:top w:w="0" w:type="dxa"/>
          <w:left w:w="0" w:type="dxa"/>
          <w:bottom w:w="0" w:type="dxa"/>
          <w:right w:w="0" w:type="dxa"/>
        </w:tblCellMar>
      </w:tblPr>
      <w:tblGrid>
        <w:gridCol w:w="75"/>
        <w:gridCol w:w="365"/>
        <w:gridCol w:w="650"/>
        <w:gridCol w:w="204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695" w:type="dxa"/>
            <w:gridSpan w:val="2"/>
            <w:tcBorders>
              <w:bottom w:val="single" w:sz="8" w:space="0" w:color="000000"/>
            </w:tcBorders>
            <w:tcMar>
              <w:bottom w:w="28" w:type="dxa"/>
            </w:tcMar>
            <w:vAlign w:val="center"/>
          </w:tcPr>
          <w:p>
            <w:pPr>
              <w:pStyle w:val="TableContents"/>
              <w:bidi w:val="0"/>
              <w:spacing w:before="0" w:after="283"/>
              <w:jc w:val="left"/>
              <w:rPr/>
            </w:pPr>
            <w:r>
              <w:rPr/>
              <w:t>/s/ Paul Phelps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045" w:type="dxa"/>
            <w:tcBorders/>
            <w:vAlign w:val="center"/>
          </w:tcPr>
          <w:p>
            <w:pPr>
              <w:pStyle w:val="TableContents"/>
              <w:bidi w:val="0"/>
              <w:spacing w:before="0" w:after="283"/>
              <w:jc w:val="left"/>
              <w:rPr/>
            </w:pPr>
            <w:r>
              <w:rPr/>
              <w:t>Paul Phelps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045" w:type="dxa"/>
            <w:tcBorders/>
            <w:vAlign w:val="center"/>
          </w:tcPr>
          <w:p>
            <w:pPr>
              <w:pStyle w:val="TableContents"/>
              <w:bidi w:val="0"/>
              <w:spacing w:before="0" w:after="283"/>
              <w:jc w:val="left"/>
              <w:rPr/>
            </w:pPr>
            <w:r>
              <w:rPr/>
              <w:t>Authorised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425" w:type="dxa"/>
        <w:jc w:val="left"/>
        <w:tblInd w:w="0" w:type="dxa"/>
        <w:tblLayout w:type="fixed"/>
        <w:tblCellMar>
          <w:top w:w="0" w:type="dxa"/>
          <w:left w:w="0" w:type="dxa"/>
          <w:bottom w:w="0" w:type="dxa"/>
          <w:right w:w="0" w:type="dxa"/>
        </w:tblCellMar>
      </w:tblPr>
      <w:tblGrid>
        <w:gridCol w:w="335"/>
        <w:gridCol w:w="201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Academy Securities, Inc.</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645" w:type="dxa"/>
        <w:jc w:val="left"/>
        <w:tblInd w:w="0" w:type="dxa"/>
        <w:tblLayout w:type="fixed"/>
        <w:tblCellMar>
          <w:top w:w="0" w:type="dxa"/>
          <w:left w:w="0" w:type="dxa"/>
          <w:bottom w:w="0" w:type="dxa"/>
          <w:right w:w="0" w:type="dxa"/>
        </w:tblCellMar>
      </w:tblPr>
      <w:tblGrid>
        <w:gridCol w:w="75"/>
        <w:gridCol w:w="365"/>
        <w:gridCol w:w="650"/>
        <w:gridCol w:w="2480"/>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130" w:type="dxa"/>
            <w:gridSpan w:val="2"/>
            <w:tcBorders>
              <w:bottom w:val="single" w:sz="8" w:space="0" w:color="000000"/>
            </w:tcBorders>
            <w:tcMar>
              <w:bottom w:w="28" w:type="dxa"/>
            </w:tcMar>
            <w:vAlign w:val="center"/>
          </w:tcPr>
          <w:p>
            <w:pPr>
              <w:pStyle w:val="TableContents"/>
              <w:bidi w:val="0"/>
              <w:spacing w:before="0" w:after="283"/>
              <w:jc w:val="left"/>
              <w:rPr/>
            </w:pPr>
            <w:r>
              <w:rPr/>
              <w:t>/s/ Michael Boyd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480" w:type="dxa"/>
            <w:tcBorders/>
            <w:vAlign w:val="center"/>
          </w:tcPr>
          <w:p>
            <w:pPr>
              <w:pStyle w:val="TableContents"/>
              <w:bidi w:val="0"/>
              <w:spacing w:before="0" w:after="283"/>
              <w:jc w:val="left"/>
              <w:rPr/>
            </w:pPr>
            <w:r>
              <w:rPr/>
              <w:t>Michael Boyd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480" w:type="dxa"/>
            <w:tcBorders/>
            <w:vAlign w:val="center"/>
          </w:tcPr>
          <w:p>
            <w:pPr>
              <w:pStyle w:val="TableContents"/>
              <w:bidi w:val="0"/>
              <w:spacing w:before="0" w:after="283"/>
              <w:jc w:val="left"/>
              <w:rPr/>
            </w:pPr>
            <w:r>
              <w:rPr/>
              <w:t>Chief Compliance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335"/>
        <w:gridCol w:w="2225"/>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Loop Capital Markets LLC</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75"/>
        <w:gridCol w:w="365"/>
        <w:gridCol w:w="650"/>
        <w:gridCol w:w="525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905" w:type="dxa"/>
            <w:gridSpan w:val="2"/>
            <w:tcBorders>
              <w:bottom w:val="single" w:sz="8" w:space="0" w:color="000000"/>
            </w:tcBorders>
            <w:tcMar>
              <w:bottom w:w="28" w:type="dxa"/>
            </w:tcMar>
            <w:vAlign w:val="center"/>
          </w:tcPr>
          <w:p>
            <w:pPr>
              <w:pStyle w:val="TableContents"/>
              <w:bidi w:val="0"/>
              <w:spacing w:before="0" w:after="283"/>
              <w:jc w:val="left"/>
              <w:rPr/>
            </w:pPr>
            <w:r>
              <w:rPr/>
              <w:t>/s/ Omar F. Zaman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5255" w:type="dxa"/>
            <w:tcBorders/>
            <w:vAlign w:val="center"/>
          </w:tcPr>
          <w:p>
            <w:pPr>
              <w:pStyle w:val="TableContents"/>
              <w:bidi w:val="0"/>
              <w:spacing w:before="0" w:after="283"/>
              <w:jc w:val="left"/>
              <w:rPr/>
            </w:pPr>
            <w:r>
              <w:rPr/>
              <w:t>Omar F. Zaman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5255" w:type="dxa"/>
            <w:tcBorders/>
            <w:vAlign w:val="center"/>
          </w:tcPr>
          <w:p>
            <w:pPr>
              <w:pStyle w:val="TableContents"/>
              <w:bidi w:val="0"/>
              <w:spacing w:before="0" w:after="283"/>
              <w:jc w:val="left"/>
              <w:rPr/>
            </w:pPr>
            <w:r>
              <w:rPr/>
              <w:t>Managing Director, Head of Coverage &amp; Debt Finance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335"/>
        <w:gridCol w:w="2165"/>
        <w:gridCol w:w="75"/>
      </w:tblGrid>
      <w:tr>
        <w:trPr/>
        <w:tc>
          <w:tcPr>
            <w:tcW w:w="335" w:type="dxa"/>
            <w:tcBorders/>
            <w:vAlign w:val="center"/>
          </w:tcPr>
          <w:p>
            <w:pPr>
              <w:pStyle w:val="TableContents"/>
              <w:bidi w:val="0"/>
              <w:spacing w:before="0" w:after="283"/>
              <w:jc w:val="left"/>
              <w:rPr>
                <w:sz w:val="20"/>
              </w:rPr>
            </w:pPr>
            <w:r>
              <w:rPr>
                <w:sz w:val="20"/>
              </w:rPr>
              <w:t>By:</w:t>
            </w:r>
          </w:p>
        </w:tc>
        <w:tc>
          <w:tcPr>
            <w:tcW w:w="2165" w:type="dxa"/>
            <w:tcBorders/>
            <w:vAlign w:val="center"/>
          </w:tcPr>
          <w:p>
            <w:pPr>
              <w:pStyle w:val="TableContents"/>
              <w:bidi w:val="0"/>
              <w:spacing w:before="0" w:after="283"/>
              <w:jc w:val="left"/>
              <w:rPr>
                <w:sz w:val="20"/>
              </w:rPr>
            </w:pPr>
            <w:r>
              <w:rPr>
                <w:sz w:val="20"/>
              </w:rPr>
              <w:t>PNC Capital Markets LLC</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480" w:type="dxa"/>
        <w:jc w:val="left"/>
        <w:tblInd w:w="0" w:type="dxa"/>
        <w:tblLayout w:type="fixed"/>
        <w:tblCellMar>
          <w:top w:w="0" w:type="dxa"/>
          <w:left w:w="0" w:type="dxa"/>
          <w:bottom w:w="0" w:type="dxa"/>
          <w:right w:w="0" w:type="dxa"/>
        </w:tblCellMar>
      </w:tblPr>
      <w:tblGrid>
        <w:gridCol w:w="75"/>
        <w:gridCol w:w="365"/>
        <w:gridCol w:w="650"/>
        <w:gridCol w:w="231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65" w:type="dxa"/>
            <w:gridSpan w:val="2"/>
            <w:tcBorders>
              <w:bottom w:val="single" w:sz="8" w:space="0" w:color="000000"/>
            </w:tcBorders>
            <w:tcMar>
              <w:bottom w:w="28" w:type="dxa"/>
            </w:tcMar>
            <w:vAlign w:val="center"/>
          </w:tcPr>
          <w:p>
            <w:pPr>
              <w:pStyle w:val="TableContents"/>
              <w:bidi w:val="0"/>
              <w:spacing w:before="0" w:after="283"/>
              <w:jc w:val="left"/>
              <w:rPr/>
            </w:pPr>
            <w:r>
              <w:rPr/>
              <w:t>/s/ Michael Schultz</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15" w:type="dxa"/>
            <w:tcBorders/>
            <w:vAlign w:val="center"/>
          </w:tcPr>
          <w:p>
            <w:pPr>
              <w:pStyle w:val="TableContents"/>
              <w:bidi w:val="0"/>
              <w:spacing w:before="0" w:after="283"/>
              <w:jc w:val="left"/>
              <w:rPr/>
            </w:pPr>
            <w:r>
              <w:rPr/>
              <w:t>Michael Schultz</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15" w:type="dxa"/>
            <w:tcBorders/>
            <w:vAlign w:val="center"/>
          </w:tcPr>
          <w:p>
            <w:pPr>
              <w:pStyle w:val="TableContents"/>
              <w:bidi w:val="0"/>
              <w:spacing w:before="0" w:after="283"/>
              <w:jc w:val="left"/>
              <w:rPr/>
            </w:pPr>
            <w:r>
              <w:rPr/>
              <w:t>Assistant 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of Sale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283"/>
              <w:jc w:val="left"/>
              <w:rPr/>
            </w:pPr>
            <w:r>
              <w:rPr/>
              <w:t>Preliminary Prospectus dated October 9, 2026 (including the Base Prospectus dated February 12,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2.</w:t>
            </w:r>
          </w:p>
        </w:tc>
        <w:tc>
          <w:tcPr>
            <w:tcW w:w="9983" w:type="dxa"/>
            <w:tcBorders/>
            <w:vAlign w:val="center"/>
          </w:tcPr>
          <w:p>
            <w:pPr>
              <w:pStyle w:val="TableContents"/>
              <w:bidi w:val="0"/>
              <w:spacing w:before="0" w:after="283"/>
              <w:jc w:val="left"/>
              <w:rPr/>
            </w:pPr>
            <w:r>
              <w:rPr/>
              <w:t>Any free writing prospectuses approved by the Representatives and filed by the Company under Rule 433(d)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3.</w:t>
            </w:r>
          </w:p>
        </w:tc>
        <w:tc>
          <w:tcPr>
            <w:tcW w:w="9993" w:type="dxa"/>
            <w:tcBorders/>
            <w:vAlign w:val="center"/>
          </w:tcPr>
          <w:p>
            <w:pPr>
              <w:pStyle w:val="TableContents"/>
              <w:bidi w:val="0"/>
              <w:spacing w:before="0" w:after="283"/>
              <w:jc w:val="left"/>
              <w:rPr/>
            </w:pPr>
            <w:r>
              <w:rPr/>
              <w:t>Final Term Sheet dated October 9, 2026 to be filed by the Company pursuant to Rule 433 under the Securities Act setting forth certain terms of the Underwritten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2" w:name="tm2627433d2_ex4-1.htm"/>
      <w:bookmarkStart w:id="73" w:name="kstm2627433d2_ex41"/>
      <w:bookmarkEnd w:id="72"/>
      <w:bookmarkEnd w:id="73"/>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Senior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1. UNLESS THIS CERTIFICATE IS PRESENTED BY AN AUTHORIZED REPRESENTATIVE OF EUROCLEAR BANK, S.A./N.V., AS OPERATOR OF THE EUROCLEAR SYSTEM (“EUROCLEAR”) AND CLEARSTREAM BANKING, SOCIÉTÉ ANONYME (“CLEARSTREAM,” AND TOGETHER WITH EUROCLEAR, “EUROCLEAR / CLEARSTREAM”), TO THE ISSUER OR ITS AGENT FOR REGISTRATION OF TRANSFER, EXCHANGE OR PAYMENT, AND ANY CERTIFICATE ISSUED IS REGISTERED IN THE NAME OF USB NOMINEES (UK) LIMITED OR IN SUCH OTHER NAME AS IS REQUESTED BY AN AUTHORIZED REPRESENTATIVE OF EUROCLEAR / CLEARSTREAM (AND ANY PAYMENT IS MADE TO USB NOMINEES (UK) LIMITED OR TO SUCH OTHER ENTITY AS IS REQUESTED BY AN AUTHORIZED REPRESENTATIVE OF EUROCLEAR / CLEARSTREAM), ANY TRANSFER, PLEDGE, OR OTHER USE HEREOF FOR VALUE OR OTHERWISE BY OR TO ANY PERSON IS WRONGFUL IN AS MUCH AS THE REGISTERED OWNER HEREOF, USB NOMINEES (UK) LIMITED, HAS AN INTEREST HEREIN.</w:t>
      </w:r>
    </w:p>
    <w:p>
      <w:pPr>
        <w:pStyle w:val="TextBody"/>
        <w:bidi w:val="0"/>
        <w:spacing w:before="0" w:after="283"/>
        <w:jc w:val="left"/>
        <w:rPr/>
      </w:pPr>
      <w:r>
        <w:rPr/>
        <w:t> </w:t>
      </w:r>
    </w:p>
    <w:tbl>
      <w:tblPr>
        <w:tblW w:w="2815" w:type="dxa"/>
        <w:jc w:val="left"/>
        <w:tblInd w:w="0" w:type="dxa"/>
        <w:tblLayout w:type="fixed"/>
        <w:tblCellMar>
          <w:top w:w="0" w:type="dxa"/>
          <w:left w:w="0" w:type="dxa"/>
          <w:bottom w:w="0" w:type="dxa"/>
          <w:right w:w="0" w:type="dxa"/>
        </w:tblCellMar>
      </w:tblPr>
      <w:tblGrid>
        <w:gridCol w:w="560"/>
        <w:gridCol w:w="225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2255" w:type="dxa"/>
            <w:tcBorders/>
            <w:vAlign w:val="center"/>
          </w:tcPr>
          <w:p>
            <w:pPr>
              <w:pStyle w:val="TableContents"/>
              <w:bidi w:val="0"/>
              <w:spacing w:before="0" w:after="283"/>
              <w:jc w:val="right"/>
              <w:rPr/>
            </w:pPr>
            <w:r>
              <w:rPr/>
              <w:t>€</w:t>
            </w:r>
          </w:p>
        </w:tc>
      </w:tr>
      <w:tr>
        <w:trPr/>
        <w:tc>
          <w:tcPr>
            <w:tcW w:w="5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CUSIP No. 713448 GS1</w:t>
            </w:r>
          </w:p>
        </w:tc>
      </w:tr>
      <w:tr>
        <w:trPr/>
        <w:tc>
          <w:tcPr>
            <w:tcW w:w="5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ISIN XS3541074905</w:t>
            </w:r>
          </w:p>
        </w:tc>
      </w:tr>
      <w:tr>
        <w:trPr/>
        <w:tc>
          <w:tcPr>
            <w:tcW w:w="5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Common Code 354107490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PEPSICO,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 SENIOR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PEPSICO, INC., a corporation in existence under the laws of the State of North Carolina (herein called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corporation under the Indenture referred to on the reverse hereof), for value received, hereby promises to pay to USB Nominees (UK) Limited, as nominee of U.S. Bank Europe DAC, a common depositary for Euroclear Bank S.A./N.V. and Clearstream Banking, société anonyme, the principal sum of €</w:t>
        <w:tab/>
        <w:t>     </w:t>
        <w:tab/>
        <w:t>     on October 16, 2029, and to pay interest on said principal sum annually in arrears on October 16 of each year, commencing October 16, 2027, at the rate of 3.750% per annum from October 16, 2026, or from the most recent date in respect of which interest has been paid or duly provided for, until payment of the principal sum has been made or duly provided for. The interest so payable and punctually paid or duly provided for on any Interest Payment Date will, as provided in the Indenture, be paid to the Person in whose name this Note (or one or more Predecessor Securities) is registered at the close of business on the Record Date for such Interest Payment Date, which shall be the October 15 (whether or not a Business Day (as defined below)) next preceding such Interest Payment Date. Any such interest that is payable but is not so punctually paid or duly provided for shall forthwith cease to be payable to the registered Holder on such Record Date and may either be paid to the Person in whose name this Note (or one or more Predecessor Securities) is registered at the close of business on a Special Record Date for the payment of such Defaulted Interest to be fixed by the Trustee, notice whereof shall be given to Holders of Notes not earlier than 10 days prior to such Special Record Date, or may be paid at any time in any other lawful manner not inconsistent with the requirements of the Nasdaq Bond Exchange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on which the Notes are expected to be listed and upon such notice as may be required by Nasdaq, if such manner of payment shall be deemed practical by the Trustee, all as more fully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will be computed on the basis of the actual number of days in the period for which interest is being calculated and the actual number of days from and including the date from which interest begins to accrue for the period (or from October 16, 2026 if no interest has been paid on the Notes) to, but excluding, the next scheduled Interest Payment Date. This payment convention is referred to as ACTUAL / ACTUAL (ICMA) as defined in the rulebook of the International Capital Markets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(1) which is not a day on which banking institutions in the City of New York or the City of London are authorized or required by law or executive order to close and (2) on which the Eurosystem’s real-time gross settlement system (T2), or any successor thereto, operates. If any Interest Payment Date, the maturity date or any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the principal of and interest on this Note will be made at the Place of 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payments of interest may be made at the option of the Company by funds transmitted to the addresses of the Persons entitled thereto as such addresses shall appear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payments, including payments made upon any redemption, in respect of this Note will be payable in euro. If the euro is unavailable to the Company due to the imposition of exchange controls or other circumstances beyond the Company’s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this Note will be made in U.S. dollars until the euro is again available to the Company and so used. In such circumstances, the amount payable on any date in euro will be converted into U.S. dollars on the basis of the then most recently available market exchange rate for euro, as determined by the Company in its sole discretion. Any payment in respect of this Note so made in U.S. dollars will not constitute an Event of Default under this Note or the Indenture. Neither the Trustee nor the Paying Agent shall be responsible for any calculation or conversion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Europe DAC, UK Branch will act as Paying Agent. The Company reserves the right at any time to vary or terminate the appointment of any Paying Agent, to appoint additional or other Paying Agents and to approve any change in the office through which any Paying Agent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which shall have the same effect as though fully set forth at this place. Unless the certificate of authentication hereon has been executed by or on behalf of the Trustee by manual signature,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by manual or facsimile signature.</w:t>
      </w:r>
    </w:p>
    <w:p>
      <w:pPr>
        <w:pStyle w:val="TextBody"/>
        <w:bidi w:val="0"/>
        <w:spacing w:before="0" w:after="0"/>
        <w:ind w:left="0" w:right="0" w:hanging="0"/>
        <w:jc w:val="left"/>
        <w:rPr>
          <w:caps w:val="false"/>
          <w:smallCaps w:val="false"/>
        </w:rPr>
      </w:pPr>
      <w:r>
        <w:rPr>
          <w:caps w:val="false"/>
          <w:smallCaps w:val="false"/>
        </w:rPr>
        <w:t> </w:t>
      </w:r>
    </w:p>
    <w:tbl>
      <w:tblPr>
        <w:tblW w:w="3849" w:type="dxa"/>
        <w:jc w:val="left"/>
        <w:tblInd w:w="0" w:type="dxa"/>
        <w:tblLayout w:type="fixed"/>
        <w:tblCellMar>
          <w:top w:w="0" w:type="dxa"/>
          <w:left w:w="0" w:type="dxa"/>
          <w:bottom w:w="0" w:type="dxa"/>
          <w:right w:w="0" w:type="dxa"/>
        </w:tblCellMar>
      </w:tblPr>
      <w:tblGrid>
        <w:gridCol w:w="2495"/>
        <w:gridCol w:w="534"/>
        <w:gridCol w:w="820"/>
      </w:tblGrid>
      <w:tr>
        <w:trPr/>
        <w:tc>
          <w:tcPr>
            <w:tcW w:w="2495" w:type="dxa"/>
            <w:tcBorders/>
            <w:vAlign w:val="center"/>
          </w:tcPr>
          <w:p>
            <w:pPr>
              <w:pStyle w:val="TableContents"/>
              <w:bidi w:val="0"/>
              <w:spacing w:before="0" w:after="283"/>
              <w:jc w:val="left"/>
              <w:rPr>
                <w:sz w:val="20"/>
              </w:rPr>
            </w:pPr>
            <w:r>
              <w:rPr>
                <w:sz w:val="20"/>
              </w:rPr>
              <w:t>Dated: _____________, 2026</w:t>
            </w:r>
          </w:p>
        </w:tc>
        <w:tc>
          <w:tcPr>
            <w:tcW w:w="1354" w:type="dxa"/>
            <w:gridSpan w:val="2"/>
            <w:tcBorders/>
            <w:vAlign w:val="center"/>
          </w:tcPr>
          <w:p>
            <w:pPr>
              <w:pStyle w:val="TableContents"/>
              <w:bidi w:val="0"/>
              <w:spacing w:before="0" w:after="283"/>
              <w:jc w:val="left"/>
              <w:rPr>
                <w:b/>
                <w:sz w:val="20"/>
              </w:rPr>
            </w:pPr>
            <w:r>
              <w:rPr>
                <w:b/>
                <w:sz w:val="20"/>
              </w:rPr>
              <w:t>PEPSICO, INC.</w:t>
            </w:r>
          </w:p>
        </w:tc>
      </w:tr>
      <w:tr>
        <w:trPr/>
        <w:tc>
          <w:tcPr>
            <w:tcW w:w="2495"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8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sz w:val="20"/>
              </w:rPr>
            </w:pPr>
            <w:r>
              <w:rPr>
                <w:sz w:val="20"/>
              </w:rPr>
              <w:t>Name:</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sz w:val="20"/>
              </w:rPr>
            </w:pPr>
            <w:r>
              <w:rPr>
                <w:sz w:val="20"/>
              </w:rPr>
              <w:t>Title:</w:t>
            </w:r>
          </w:p>
        </w:tc>
      </w:tr>
      <w:tr>
        <w:trPr/>
        <w:tc>
          <w:tcPr>
            <w:tcW w:w="2495"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sz w:val="20"/>
              </w:rPr>
            </w:pPr>
            <w:r>
              <w:rPr>
                <w:sz w:val="20"/>
              </w:rPr>
              <w:t>Name:</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169" w:type="dxa"/>
        <w:jc w:val="left"/>
        <w:tblInd w:w="0" w:type="dxa"/>
        <w:tblLayout w:type="fixed"/>
        <w:tblCellMar>
          <w:top w:w="0" w:type="dxa"/>
          <w:left w:w="0" w:type="dxa"/>
          <w:bottom w:w="0" w:type="dxa"/>
          <w:right w:w="0" w:type="dxa"/>
        </w:tblCellMar>
      </w:tblPr>
      <w:tblGrid>
        <w:gridCol w:w="75"/>
        <w:gridCol w:w="1452"/>
        <w:gridCol w:w="4642"/>
      </w:tblGrid>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rFonts w:ascii="Times New Roman;Times;Serif" w:hAnsi="Times New Roman;Times;Serif"/>
                <w:b/>
                <w:sz w:val="20"/>
              </w:rPr>
              <w:t>U.S. BANK TRUST COMPANY, NATIONAL ASSOCIATION</w:t>
            </w:r>
            <w:r>
              <w:rPr>
                <w:sz w:val="20"/>
              </w:rPr>
              <w:t>, as Trustee</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4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left"/>
              <w:rPr/>
            </w:pPr>
            <w:r>
              <w:rPr/>
              <w:t> </w:t>
            </w:r>
          </w:p>
        </w:tc>
        <w:tc>
          <w:tcPr>
            <w:tcW w:w="4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4642"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PEPSICO,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 SENIOR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debentures, notes or other evidences of indebtedness of the Company (herein called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issued and to be issued in one or more series under an Indenture, dated as of February 12, 2024 (herein called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(herein called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which term includes any successor trustee under the Indenture), to which Indenture and all indentures supplemental thereto reference is hereby made for a statement of the respective rights thereunder of the Company, the Trustee and the Holders of the Securities, the terms upon which the Securities are, and are to be, authenticated and delivered, and the definition of capitalized terms used herein and not otherwise defined herein. The Securities may be issued in one or more series, which different series may be issued in various aggregate principal amounts, may be denominated in different currencies, may mature at different times, may bear interest (if any) at different rates (which rates may be fixed or variable), may be subject to different redemption provisions (if any), may be subject to different sinking, purchase or analogous funds (if any), may be subject to different covenants and Events of Default, and may otherwise vary as provided in the Indenture. This Note is one of a series of Securities of the Company designated as set forth on the face hereof (herein called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initially limited in aggregate principal amount to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redeemable as a whole or in part, at the Company’s option, at any time and from time to time prior to September 16, 2029 (one month prior to the maturity date of the Notes) (the “</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at a Redemption Price (expressed as a percentage of principal amount and rounded to three decimal places) equal to the greater of (i) 100% of the principal amount of such Notes being redeemed and (ii) (a) the sum of the present values of the Remaining Scheduled Payments (as defined below) of principal and interest thereon (assuming for such purpose that the Notes matured on the Par Call Date) discounted to the Redemption Date on an annual basis (ACTUAL / ACTUAL (ICMA)) at the applicable Comparable Government Bond Rate (as defined below) plus 10 basis points less (b) interest accrued to the date of redemption, plus, in each case, accrued and unpaid interest to the date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redeemable as a whole or in part, at the Company’s option, at any time and from time to time on or after the Par Call Date, at a Redemption Price equal to 100% of the principal amount of the Notes being redeemed, plus accrued and unpaid interest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Comparable Government Bond</w:t>
      </w:r>
      <w:r>
        <w:rPr>
          <w:rFonts w:ascii="Times New Roman;Times;Serif" w:hAnsi="Times New Roman;Times;Serif"/>
          <w:b w:val="false"/>
          <w:i w:val="false"/>
          <w:caps w:val="false"/>
          <w:smallCaps w:val="false"/>
          <w:sz w:val="20"/>
        </w:rPr>
        <w:t>” means, in relation to any Comparable Government Bond Rate (as defined below) calculation, at the discretion of an independent investment bank selected by the Company, a German government bond whose maturity is closest to the maturity of the Notes, assuming for such purpose that the Notes matured on the Par Call Date, or if such independent investment bank in its discretion considers that such similar bond is not in issue, such other German government bond as such independent investment bank may, with the advice of three brokers of, and/or market makers in, German government bonds selected by the Company, determine to be appropriate for determining the Comparable Government Bond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Comparable Government Bond Rate</w:t>
      </w:r>
      <w:r>
        <w:rPr>
          <w:rFonts w:ascii="Times New Roman;Times;Serif" w:hAnsi="Times New Roman;Times;Serif"/>
          <w:b w:val="false"/>
          <w:i w:val="false"/>
          <w:caps w:val="false"/>
          <w:smallCaps w:val="false"/>
          <w:sz w:val="20"/>
        </w:rPr>
        <w:t>” means, with respect to any Redemption Date,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Remaining Scheduled Payments</w:t>
      </w:r>
      <w:r>
        <w:rPr>
          <w:rFonts w:ascii="Times New Roman;Times;Serif" w:hAnsi="Times New Roman;Times;Serif"/>
          <w:b w:val="false"/>
          <w:i w:val="false"/>
          <w:caps w:val="false"/>
          <w:smallCaps w:val="false"/>
          <w:sz w:val="20"/>
        </w:rPr>
        <w:t xml:space="preserve">” means, with respect to each Note to be redeemed, the remaining scheduled payments of the principal thereof and interest thereon that would be due after the related Redemption Date but for such redemption, assuming for such purpose that such Note matured on the Par Call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Redemption Date is not an Interest Payment Date with respect to such Note, the amount of the next succeeding scheduled interest payment thereon will be deemed to be reduced by the amount of interest accrued thereon to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October 9, 2026, the Company becomes or, based upon a written opinion of independent counsel selected by the Company, will become obligated to pay additional amounts as described below with respect to the Notes, then the Company may at any time at its option redeem, in whole, but not in part, the Notes at a Redemption Price equal to 100% of their principal amount, together with accrued and unpaid interest on those Notes to, but not including, the date fixed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subject to the exceptions and limitations set forth below, pay as additional interest on the Notes such additional amounts as are necessary in order that the net payment by the Company of the principal of and interest on the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obligation to pay additional amounts shall not apply: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left"/>
              <w:rPr/>
            </w:pPr>
            <w:r>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left"/>
              <w:rPr/>
            </w:pPr>
            <w:r>
              <w:rPr/>
              <w:t>being or having been engaged in a trade or business in the United States or having or having had a permanent establishment in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left"/>
              <w:rPr/>
            </w:pPr>
            <w:r>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being or having been a personal holding company, a passive foreign investment company or a controlled foreign corporation for United States federal income tax purposes or a corporation that has accumulated earnings to avoid United States federal income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left"/>
              <w:rPr/>
            </w:pPr>
            <w:r>
              <w:rPr/>
              <w:t>being or having been a “10-percent shareholder” of the Company as defined in Section 871(h)(3) of the United States Internal Revenue Code of 1986, as amended (the “</w:t>
            </w:r>
            <w:r>
              <w:rPr>
                <w:b/>
              </w:rPr>
              <w:t>Code</w:t>
            </w:r>
            <w:r>
              <w:rPr/>
              <w:t>”) or any successor provision;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9" w:type="dxa"/>
            <w:tcBorders/>
            <w:vAlign w:val="center"/>
          </w:tcPr>
          <w:p>
            <w:pPr>
              <w:pStyle w:val="TableContents"/>
              <w:bidi w:val="0"/>
              <w:spacing w:before="0" w:after="283"/>
              <w:jc w:val="left"/>
              <w:rPr/>
            </w:pPr>
            <w:r>
              <w:rPr/>
              <w:t>being a bank receiving payments on an extension of credit made pursuant to a loan agreement entered into in the ordinary course of its trade or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left"/>
              <w:rPr/>
            </w:pPr>
            <w:r>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left"/>
              <w:rPr/>
            </w:pPr>
            <w:r>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(4)</w:t>
            </w:r>
          </w:p>
        </w:tc>
        <w:tc>
          <w:tcPr>
            <w:tcW w:w="9905" w:type="dxa"/>
            <w:tcBorders/>
            <w:vAlign w:val="center"/>
          </w:tcPr>
          <w:p>
            <w:pPr>
              <w:pStyle w:val="TableContents"/>
              <w:bidi w:val="0"/>
              <w:spacing w:before="0" w:after="283"/>
              <w:jc w:val="left"/>
              <w:rPr/>
            </w:pPr>
            <w:r>
              <w:rPr/>
              <w:t>to any tax, assessment or other governmental charge that is imposed otherwise than by withholding by the Company or a Paying Agent from the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(5)</w:t>
            </w:r>
          </w:p>
        </w:tc>
        <w:tc>
          <w:tcPr>
            <w:tcW w:w="9928" w:type="dxa"/>
            <w:tcBorders/>
            <w:vAlign w:val="center"/>
          </w:tcPr>
          <w:p>
            <w:pPr>
              <w:pStyle w:val="TableContents"/>
              <w:bidi w:val="0"/>
              <w:spacing w:before="0" w:after="283"/>
              <w:jc w:val="left"/>
              <w:rPr/>
            </w:pPr>
            <w:r>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(6)</w:t>
            </w:r>
          </w:p>
        </w:tc>
        <w:tc>
          <w:tcPr>
            <w:tcW w:w="9905" w:type="dxa"/>
            <w:tcBorders/>
            <w:vAlign w:val="center"/>
          </w:tcPr>
          <w:p>
            <w:pPr>
              <w:pStyle w:val="TableContents"/>
              <w:bidi w:val="0"/>
              <w:spacing w:before="0" w:after="283"/>
              <w:jc w:val="left"/>
              <w:rPr/>
            </w:pPr>
            <w:r>
              <w:rPr/>
              <w:t>to any estate, inheritance, gift, sales, excise, transfer, wealth, capital gains or personal property tax or similar tax, assessment or other governmental charge;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(7)</w:t>
            </w:r>
          </w:p>
        </w:tc>
        <w:tc>
          <w:tcPr>
            <w:tcW w:w="9924" w:type="dxa"/>
            <w:tcBorders/>
            <w:vAlign w:val="center"/>
          </w:tcPr>
          <w:p>
            <w:pPr>
              <w:pStyle w:val="TableContents"/>
              <w:bidi w:val="0"/>
              <w:spacing w:before="0" w:after="283"/>
              <w:jc w:val="left"/>
              <w:rPr/>
            </w:pPr>
            <w:r>
              <w:rPr/>
              <w:t>to any tax, assessment or other governmental charge required to be withheld by any Paying Agent from any payment of principal of or interest on any Note, if such payment can be made without such withholding by at least one other Paying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(8)</w:t>
            </w:r>
          </w:p>
        </w:tc>
        <w:tc>
          <w:tcPr>
            <w:tcW w:w="9933" w:type="dxa"/>
            <w:tcBorders/>
            <w:vAlign w:val="center"/>
          </w:tcPr>
          <w:p>
            <w:pPr>
              <w:pStyle w:val="TableContents"/>
              <w:bidi w:val="0"/>
              <w:spacing w:before="0" w:after="283"/>
              <w:jc w:val="left"/>
              <w:rPr/>
            </w:pPr>
            <w:r>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283"/>
              <w:jc w:val="left"/>
              <w:rPr/>
            </w:pPr>
            <w:r>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(10)</w:t>
            </w:r>
          </w:p>
        </w:tc>
        <w:tc>
          <w:tcPr>
            <w:tcW w:w="9821" w:type="dxa"/>
            <w:tcBorders/>
            <w:vAlign w:val="center"/>
          </w:tcPr>
          <w:p>
            <w:pPr>
              <w:pStyle w:val="TableContents"/>
              <w:bidi w:val="0"/>
              <w:spacing w:before="0" w:after="283"/>
              <w:jc w:val="left"/>
              <w:rPr/>
            </w:pPr>
            <w:r>
              <w:rPr/>
              <w:t>to any tax, assessment or other governmental charge imposed under Sections 1471 through 1474 of the Internal Revenue Code (or any amended or successor provisions), any current or future regulations or official interpretations thereof, any agreement entered into pursuant to Section 1471(b) of the Internal Revenue Code or any fiscal or regulatory legislation, rules or practices adopted pursuant to any intergovernmental agreement entered into in connection with the implementation of such sections of the Internal Revenue Code;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90"/>
        <w:gridCol w:w="9670"/>
      </w:tblGrid>
      <w:tr>
        <w:trPr/>
        <w:tc>
          <w:tcPr>
            <w:tcW w:w="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pPr>
            <w:r>
              <w:rPr/>
              <w:t>(11)</w:t>
            </w:r>
          </w:p>
        </w:tc>
        <w:tc>
          <w:tcPr>
            <w:tcW w:w="9670" w:type="dxa"/>
            <w:tcBorders/>
            <w:vAlign w:val="center"/>
          </w:tcPr>
          <w:p>
            <w:pPr>
              <w:pStyle w:val="TableContents"/>
              <w:bidi w:val="0"/>
              <w:spacing w:before="0" w:after="283"/>
              <w:jc w:val="left"/>
              <w:rPr/>
            </w:pPr>
            <w:r>
              <w:rPr/>
              <w:t>in the case of any combination of items (1), (2), (3), (4), (5), (6), (7), (8), (9) and (10).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subject in all cases to any tax, fiscal or other law or regulation or administrative or judicial interpretation applicable to the Notes. Except as noted above, the Company will not be required to make any payment for any tax, assessment or other governmental charge imposed by any government or a political subdivision or taxing authority of or in any government or political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above, the term “</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 (including the states of the United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transmitted at least 10 days but not more than 60 days before the Redemption Date to each Holder of Notes to be redeemed (or delivered electronically in accordance with the procedures of the Depositary). Any redemption notice may, at the Company’s discretion, be subject to one or more conditions precedent, including completion of a corporate transaction. In such event, the related notice of redemption shall describe each such condition and, if applicable, shall state that, at the Company’s discretion, the Redemption Date may be delayed until such time (including more than 60 days after the notice of redemption was given) as any or all such conditions shall be satisfied or waived, or such redemption may not occur and such notice may be rescinded in the event that any or all such conditions shall not have been satisfied (or waived by the Company in its sole discretion) by the Redemption Date, or by the Redemption Date as so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fewer than all of the Notes are to be redeemed, selection of the Notes for redemption will be made by lot by the Trustee, subject to the last sentence of this paragraph. No notes of a principal amount of €100,000 or less will be redeemed in part. If any Note is to be redeemed only in part, the notice of redemption that relates to such Note shall state the portion of the principal amount thereof to be redeemed. A new Note in a principal amount equal to the unredeemed portion of the principal of the Note surrendered may be issued in the name of the Holder of the Note upon surrender of the original Note. For as long as the Notes are held by the Depositary, the redemption of the Notes will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be responsible for calculating the Redemption Price of the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redemption of the Notes shall be made in accordance with the terms of Article 11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any series under the Indenture at any time by the Company and the Trustee with the consent of the Holders of a majority in aggregate principal amount of the Securities at the time Outstanding of each series to be affected by such amendment or modification (voting together as a single class). The Indenture also contains provisions permitting the Holders of a majority in aggregate principal amount of the Securities of each affected series at the time Outstanding (voting together as a single class)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registration of transfer hereof or in exchange herefor or in lieu hereof, whether or not notation of such consent or waiver is made upon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setting forth certain conditions to the institution of proceedings by Holders of Securities with respect to the Indenture or for any remedy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the Notes shall occur and be continuing, the principal amount hereof may be declared due and payable or may be otherwise accelerated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Note is registerable in the Security Register, upon surrender of this Note for registration of transfer at the office or agency of the Company in any Place of Payment duly endorsed, or accompanied by a written instrument of transfer in form satisfactory to the Company and the Security Registrar duly executed, by the Holder hereof or his attorney duly authorized in writing, and thereupon one or more new Notes,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only in registered form without coupons in minimum denominations of €100,000 and integral multiples of €1,000 in excess thereof. As provided in the Indenture and subject to certain limitations therein set forth, this Note is exchangeable for certificated notes in definitive form of like tenor in minimum denominations of €100,000 principal amount and integral multiples of €1,000 in excess thereof if (i) the Depositary provides notification that it is unwilling, unable or no longer qualified to continue as depositary for the global notes and a successor is not appointed within 90 days; (ii) the Company in its discretion at any time determines not to have all the Notes represented by the global note; or (iii) default entitling the Holders of Notes to accelerate the maturity thereof has occurred and is continuing. Any Note that is exchangeable as above is exchangeable for certificated notes issuable in authorized denominations and registered in such names as the common depositary shall direct. Subject to the foregoing, a global note is not exchangeable, except for a global note of the same aggregate denomination to be registered in the name of the common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(including principal, interest and any additional amounts) and transfers with respect to the Notes in certificated form may be executed at the office or agency maintained for such purpose within the City of London (initially the office of the Paying Agent maintained for such purpose) or, at the Company’s option, by check mailed to the Holders thereof at the respective addresses set forth in the register of Holders of the Notes, provided that all payments (including principal, interest and any additional amounts) on certificated notes, for which the Holders thereof have given wire transfer instructions, will be required to be made by wire transfer of immediately available funds to the accounts specified by the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or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presentment of this Note for registration of transfer, the Company, the Trustee and any agent of the Company or the Trustee may treat the Person in whose name this Note is registered as the owner hereof for the purpose of receiving payment as herein provided and for all other purposes, whether or not this Note is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be executed in any number of counterparts, each of which when so executed shall be deemed to be an original, but all of which shall together constitute but one and the same instrument. The signature of any officer on this Note may be manual or facsimile (including, for the avoidance of doubt, electronic). The Company and the Trustee, and each Holder of this Note by its acceptance hereof, acknowledge that for purposes of the Indenture, manually affixing a signature by electronic means shall constitute a manual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Note which are defined in the Indenture and are not otherwise defined herein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_________________________ attorney to transfer such Note on the books of the Issuer,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w:t>
        <w:tab/>
        <w:t>     The signature to this assignment must correspond with the name as written upon the face of the within Note in every particular without alteration or enlargement or any change whatsoever.</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right"/>
        <w:rPr>
          <w:b/>
        </w:rPr>
      </w:pPr>
      <w:bookmarkStart w:id="74" w:name="tm2627433d2_ex4-2.htm"/>
      <w:bookmarkStart w:id="75" w:name="kstm2627433d2_ex42"/>
      <w:bookmarkEnd w:id="74"/>
      <w:bookmarkEnd w:id="75"/>
      <w:r>
        <w:rPr>
          <w:b/>
        </w:rPr>
        <w:t>Exhibit 4.2</w:t>
      </w:r>
      <w:r>
        <w:br w:type="page"/>
      </w:r>
    </w:p>
    <w:p>
      <w:pPr>
        <w:pStyle w:val="TextBody"/>
        <w:bidi w:val="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Senior Note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sz w:val="20"/>
        </w:rPr>
      </w:pPr>
      <w:r>
        <w:rPr>
          <w:rFonts w:ascii="Times New Roman;Times;Serif" w:hAnsi="Times New Roman;Times;Serif"/>
          <w:sz w:val="20"/>
        </w:rPr>
        <w:t>2.</w:t>
        <w:tab/>
        <w:t>UNLESS THIS CERTIFICATE IS PRESENTED BY AN AUTHORIZED REPRESENTATIVE OF EUROCLEAR BANK, S.A./N.V., AS OPERATOR OF THE EUROCLEAR SYSTEM (“</w:t>
      </w:r>
      <w:r>
        <w:rPr>
          <w:rFonts w:ascii="Times New Roman;Times;Serif" w:hAnsi="Times New Roman;Times;Serif"/>
          <w:b/>
          <w:sz w:val="20"/>
        </w:rPr>
        <w:t>EUROCLEAR</w:t>
      </w:r>
      <w:r>
        <w:rPr>
          <w:rFonts w:ascii="Times New Roman;Times;Serif" w:hAnsi="Times New Roman;Times;Serif"/>
          <w:sz w:val="20"/>
        </w:rPr>
        <w:t>”) AND CLEARSTREAM BANKING, SOCIÉTÉ ANONYME (“</w:t>
      </w:r>
      <w:r>
        <w:rPr>
          <w:rFonts w:ascii="Times New Roman;Times;Serif" w:hAnsi="Times New Roman;Times;Serif"/>
          <w:b/>
          <w:sz w:val="20"/>
        </w:rPr>
        <w:t>CLEARSTREAM</w:t>
      </w:r>
      <w:r>
        <w:rPr>
          <w:rFonts w:ascii="Times New Roman;Times;Serif" w:hAnsi="Times New Roman;Times;Serif"/>
          <w:sz w:val="20"/>
        </w:rPr>
        <w:t>,” AND TOGETHER WITH EUROCLEAR, “</w:t>
      </w:r>
      <w:r>
        <w:rPr>
          <w:rFonts w:ascii="Times New Roman;Times;Serif" w:hAnsi="Times New Roman;Times;Serif"/>
          <w:b/>
          <w:sz w:val="20"/>
        </w:rPr>
        <w:t>EUROCLEAR / CLEARSTREAM</w:t>
      </w:r>
      <w:r>
        <w:rPr>
          <w:rFonts w:ascii="Times New Roman;Times;Serif" w:hAnsi="Times New Roman;Times;Serif"/>
          <w:sz w:val="20"/>
        </w:rPr>
        <w:t>”), TO THE ISSUER OR ITS AGENT FOR REGISTRATION OF TRANSFER, EXCHANGE OR PAYMENT, AND ANY CERTIFICATE ISSUED IS REGISTERED IN THE NAME OF USB NOMINEES (UK) LIMITED OR IN SUCH OTHER NAME AS IS REQUESTED BY AN AUTHORIZED REPRESENTATIVE OF EUROCLEAR / CLEARSTREAM (AND ANY PAYMENT IS MADE TO USB NOMINEES (UK) LIMITED OR TO SUCH OTHER ENTITY AS IS REQUESTED BY AN AUTHORIZED REPRESENTATIVE OF EUROCLEAR / CLEARSTREAM), ANY TRANSFER, PLEDGE, OR OTHER USE HEREOF FOR VALUE OR OTHERWISE BY OR TO ANY PERSON IS WRONGFUL IN AS MUCH AS THE REGISTERED OWNER HEREOF, USB NOMINEES (UK) LIMITED, HAS AN INTEREST HEREIN.</w:t>
      </w:r>
    </w:p>
    <w:p>
      <w:pPr>
        <w:pStyle w:val="TextBody"/>
        <w:bidi w:val="0"/>
        <w:spacing w:before="0" w:after="283"/>
        <w:jc w:val="left"/>
        <w:rPr/>
      </w:pPr>
      <w:r>
        <w:rPr/>
        <w:t> </w:t>
      </w:r>
    </w:p>
    <w:tbl>
      <w:tblPr>
        <w:tblW w:w="2815" w:type="dxa"/>
        <w:jc w:val="left"/>
        <w:tblInd w:w="0" w:type="dxa"/>
        <w:tblLayout w:type="fixed"/>
        <w:tblCellMar>
          <w:top w:w="0" w:type="dxa"/>
          <w:left w:w="0" w:type="dxa"/>
          <w:bottom w:w="0" w:type="dxa"/>
          <w:right w:w="0" w:type="dxa"/>
        </w:tblCellMar>
      </w:tblPr>
      <w:tblGrid>
        <w:gridCol w:w="560"/>
        <w:gridCol w:w="225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w:t>
            </w:r>
          </w:p>
        </w:tc>
        <w:tc>
          <w:tcPr>
            <w:tcW w:w="2255" w:type="dxa"/>
            <w:tcBorders/>
            <w:vAlign w:val="center"/>
          </w:tcPr>
          <w:p>
            <w:pPr>
              <w:pStyle w:val="TableContents"/>
              <w:bidi w:val="0"/>
              <w:spacing w:before="0" w:after="283"/>
              <w:jc w:val="right"/>
              <w:rPr/>
            </w:pPr>
            <w:r>
              <w:rPr/>
              <w:t>€</w:t>
            </w:r>
            <w:r>
              <w:rPr>
                <w:rFonts w:ascii="Times New Roman;Times;Serif" w:hAnsi="Times New Roman;Times;Serif"/>
                <w:b/>
              </w:rPr>
              <w:tab/>
            </w:r>
          </w:p>
        </w:tc>
      </w:tr>
      <w:tr>
        <w:trPr/>
        <w:tc>
          <w:tcPr>
            <w:tcW w:w="5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CUSIP No. 713448 GT9</w:t>
            </w:r>
          </w:p>
        </w:tc>
      </w:tr>
      <w:tr>
        <w:trPr/>
        <w:tc>
          <w:tcPr>
            <w:tcW w:w="5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ISIN XS3541075381</w:t>
            </w:r>
          </w:p>
        </w:tc>
      </w:tr>
      <w:tr>
        <w:trPr/>
        <w:tc>
          <w:tcPr>
            <w:tcW w:w="5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Common Code 354107538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PEPSICO,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4.250% SENIOR NOTE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PEPSICO, INC., a corporation in existence under the laws of the State of North Carolina (herein called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corporation under the Indenture referred to on the reverse hereof), for value received, hereby promises to pay to USB Nominees (UK) Limited, as nominee of U.S. Bank Europe DAC, a common depositary for Euroclear Bank S.A./N.V. and Clearstream Banking, société anonyme, the principal sum of €</w:t>
        <w:tab/>
        <w:t>     </w:t>
        <w:tab/>
        <w:t>     on October 16, 2035, and to pay interest on said principal sum annually in arrears on October 16 of each year, commencing October 16, 2027, at the rate of 4.250% per annum from October 16, 2026, or from the most recent date in respect of which interest has been paid or duly provided for, until payment of the principal sum has been made or duly provided for. The interest so payable and punctually paid or duly provided for on any Interest Payment Date will, as provided in the Indenture, be paid to the Person in whose name this Note (or one or more Predecessor Securities) is registered at the close of business on the Record Date for such Interest Payment Date, which shall be the October 15 (whether or not a Business Day (as defined below)) next preceding such Interest Payment Date. Any such interest that is payable but is not so punctually paid or duly provided for shall forthwith cease to be payable to the registered Holder on such Record Date and may either be paid to the Person in whose name this Note (or one or more Predecessor Securities) is registered at the close of business on a Special Record Date for the payment of such Defaulted Interest to be fixed by the Trustee, notice whereof shall be given to Holders of Notes not earlier than 10 days prior to such Special Record Date, or may be paid at any time in any other lawful manner not inconsistent with the requirements of the Nasdaq Bond Exchange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on which the Notes are expected to be listed and upon such notice as may be required by Nasdaq, if such manner of payment shall be deemed practical by the Trustee, all as more fully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will be computed on the basis of the actual number of days in the period for which interest is being calculated and the actual number of days from and including the date from which interest begins to accrue for the period (or from October 16, 2026 if no interest has been paid on the Notes) to, but excluding, the next scheduled Interest Payment Date. This payment convention is referred to as ACTUAL / ACTUAL (ICMA) as defined in the rulebook of the International Capital Markets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(1) which is not a day on which banking institutions in the City of New York or the City of London are authorized or required by law or executive order to close and (2) on which the Eurosystem’s real-time gross settlement system (T2), or any successor thereto, operates. If any Interest Payment Date, the maturity date or any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the principal of and interest on this Note will be made at the Place of 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payments of interest may be made at the option of the Company by funds transmitted to the addresses of the Persons entitled thereto as such addresses shall appear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payments, including payments made upon any redemption, in respect of this Note will be payable in euro. If the euro is unavailable to the Company due to the imposition of exchange controls or other circumstances beyond the Company’s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this Note will be made in U.S. dollars until the euro is again available to the Company and so used. In such circumstances, the amount payable on any date in euro will be converted into U.S. dollars on the basis of the then most recently available market exchange rate for euro, as determined by the Company in its sole discretion. Any payment in respect of this Note so made in U.S. dollars will not constitute an Event of Default under this Note or the Indenture. Neither the Trustee nor the Paying Agent shall be responsible for any calculation or conversion in connection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U.S. Bank Europe DAC, UK Branch will act as Paying Agent. The Company reserves the right at any time to vary or terminate the appointment of any Paying Agent, to appoint additional or other Paying Agents and to approve any change in the office through which any Paying Agent 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which shall have the same effect as though fully set forth at this place. Unless the certificate of authentication hereon has been executed by or on behalf of the Trustee by manual signature, this Note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 by manual or facsimile signature.</w:t>
      </w:r>
    </w:p>
    <w:p>
      <w:pPr>
        <w:pStyle w:val="TextBody"/>
        <w:bidi w:val="0"/>
        <w:spacing w:before="0" w:after="0"/>
        <w:ind w:left="0" w:right="0" w:hanging="0"/>
        <w:jc w:val="left"/>
        <w:rPr>
          <w:caps w:val="false"/>
          <w:smallCaps w:val="false"/>
        </w:rPr>
      </w:pPr>
      <w:r>
        <w:rPr>
          <w:caps w:val="false"/>
          <w:smallCaps w:val="false"/>
        </w:rPr>
        <w:t> </w:t>
      </w:r>
    </w:p>
    <w:tbl>
      <w:tblPr>
        <w:tblW w:w="3849" w:type="dxa"/>
        <w:jc w:val="left"/>
        <w:tblInd w:w="0" w:type="dxa"/>
        <w:tblLayout w:type="fixed"/>
        <w:tblCellMar>
          <w:top w:w="0" w:type="dxa"/>
          <w:left w:w="0" w:type="dxa"/>
          <w:bottom w:w="0" w:type="dxa"/>
          <w:right w:w="0" w:type="dxa"/>
        </w:tblCellMar>
      </w:tblPr>
      <w:tblGrid>
        <w:gridCol w:w="2495"/>
        <w:gridCol w:w="534"/>
        <w:gridCol w:w="820"/>
      </w:tblGrid>
      <w:tr>
        <w:trPr/>
        <w:tc>
          <w:tcPr>
            <w:tcW w:w="2495" w:type="dxa"/>
            <w:tcBorders/>
            <w:vAlign w:val="center"/>
          </w:tcPr>
          <w:p>
            <w:pPr>
              <w:pStyle w:val="TableContents"/>
              <w:bidi w:val="0"/>
              <w:spacing w:before="0" w:after="283"/>
              <w:jc w:val="left"/>
              <w:rPr>
                <w:sz w:val="20"/>
              </w:rPr>
            </w:pPr>
            <w:r>
              <w:rPr>
                <w:sz w:val="20"/>
              </w:rPr>
              <w:t>Dated: _____________, 2026</w:t>
            </w:r>
          </w:p>
        </w:tc>
        <w:tc>
          <w:tcPr>
            <w:tcW w:w="1354" w:type="dxa"/>
            <w:gridSpan w:val="2"/>
            <w:tcBorders/>
            <w:vAlign w:val="center"/>
          </w:tcPr>
          <w:p>
            <w:pPr>
              <w:pStyle w:val="TableContents"/>
              <w:bidi w:val="0"/>
              <w:spacing w:before="0" w:after="283"/>
              <w:jc w:val="left"/>
              <w:rPr>
                <w:b/>
                <w:sz w:val="20"/>
              </w:rPr>
            </w:pPr>
            <w:r>
              <w:rPr>
                <w:b/>
                <w:sz w:val="20"/>
              </w:rPr>
              <w:t>PEPSICO, INC.</w:t>
            </w:r>
          </w:p>
        </w:tc>
      </w:tr>
      <w:tr>
        <w:trPr/>
        <w:tc>
          <w:tcPr>
            <w:tcW w:w="2495"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8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sz w:val="20"/>
              </w:rPr>
            </w:pPr>
            <w:r>
              <w:rPr>
                <w:sz w:val="20"/>
              </w:rPr>
              <w:t>Name:</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sz w:val="20"/>
              </w:rPr>
            </w:pPr>
            <w:r>
              <w:rPr>
                <w:sz w:val="20"/>
              </w:rPr>
              <w:t>Title:</w:t>
            </w:r>
          </w:p>
        </w:tc>
      </w:tr>
      <w:tr>
        <w:trPr/>
        <w:tc>
          <w:tcPr>
            <w:tcW w:w="2495"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sz w:val="20"/>
              </w:rPr>
            </w:pPr>
            <w:r>
              <w:rPr>
                <w:sz w:val="20"/>
              </w:rPr>
              <w:t>Name:</w:t>
            </w:r>
          </w:p>
        </w:tc>
      </w:tr>
      <w:tr>
        <w:trPr/>
        <w:tc>
          <w:tcPr>
            <w:tcW w:w="2495" w:type="dxa"/>
            <w:tcBorders/>
            <w:vAlign w:val="center"/>
          </w:tcPr>
          <w:p>
            <w:pPr>
              <w:pStyle w:val="TableContents"/>
              <w:bidi w:val="0"/>
              <w:spacing w:before="0" w:after="283"/>
              <w:jc w:val="left"/>
              <w:rPr/>
            </w:pPr>
            <w:r>
              <w:rPr/>
              <w:t> </w:t>
            </w:r>
          </w:p>
        </w:tc>
        <w:tc>
          <w:tcPr>
            <w:tcW w:w="534"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left"/>
              <w:rPr>
                <w:sz w:val="20"/>
              </w:rPr>
            </w:pPr>
            <w:r>
              <w:rPr>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6169" w:type="dxa"/>
        <w:jc w:val="left"/>
        <w:tblInd w:w="0" w:type="dxa"/>
        <w:tblLayout w:type="fixed"/>
        <w:tblCellMar>
          <w:top w:w="0" w:type="dxa"/>
          <w:left w:w="0" w:type="dxa"/>
          <w:bottom w:w="0" w:type="dxa"/>
          <w:right w:w="0" w:type="dxa"/>
        </w:tblCellMar>
      </w:tblPr>
      <w:tblGrid>
        <w:gridCol w:w="75"/>
        <w:gridCol w:w="1452"/>
        <w:gridCol w:w="4642"/>
      </w:tblGrid>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rFonts w:ascii="Times New Roman;Times;Serif" w:hAnsi="Times New Roman;Times;Serif"/>
                <w:b/>
                <w:sz w:val="20"/>
              </w:rPr>
              <w:t>U.S. BANK TRUST COMPANY, NATIONAL ASSOCIATION</w:t>
            </w:r>
            <w:r>
              <w:rPr>
                <w:sz w:val="20"/>
              </w:rPr>
              <w:t>, as Trustee</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4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left"/>
              <w:rPr/>
            </w:pPr>
            <w:r>
              <w:rPr/>
              <w:t> </w:t>
            </w:r>
          </w:p>
        </w:tc>
        <w:tc>
          <w:tcPr>
            <w:tcW w:w="4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60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4642"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PEPSICO,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4.250% SENIOR NOTE DUE 2035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debentures, notes or other evidences of indebtedness of the Company (herein called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issued and to be issued in one or more series under an Indenture, dated as of February 12, 2024 (herein called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and U.S. Bank Trust Company, National Association, as Trustee (herein called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which term includes any successor trustee under the Indenture), to which Indenture and all indentures supplemental thereto reference is hereby made for a statement of the respective rights thereunder of the Company, the Trustee and the Holders of the Securities, the terms upon which the Securities are, and are to be, authenticated and delivered, and the definition of capitalized terms used herein and not otherwise defined herein. The Securities may be issued in one or more series, which different series may be issued in various aggregate principal amounts, may be denominated in different currencies, may mature at different times, may bear interest (if any) at different rates (which rates may be fixed or variable), may be subject to different redemption provisions (if any), may be subject to different sinking, purchase or analogous funds (if any), may be subject to different covenants and Events of Default, and may otherwise vary as provided in the Indenture. This Note is one of a series of Securities of the Company designated as set forth on the face hereof (herein called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initially limited in aggregate principal amount to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redeemable as a whole or in part, at the Company’s option, at any time and from time to time prior to July 16, 2035 (three months prior to the maturity date of the Notes) (the “</w:t>
      </w:r>
      <w:r>
        <w:rPr>
          <w:rFonts w:ascii="Times New Roman;Times;Serif" w:hAnsi="Times New Roman;Times;Serif"/>
          <w:b/>
          <w:i w:val="false"/>
          <w:caps w:val="false"/>
          <w:smallCaps w:val="false"/>
          <w:sz w:val="20"/>
        </w:rPr>
        <w:t>Par Call Date</w:t>
      </w:r>
      <w:r>
        <w:rPr>
          <w:rFonts w:ascii="Times New Roman;Times;Serif" w:hAnsi="Times New Roman;Times;Serif"/>
          <w:b w:val="false"/>
          <w:i w:val="false"/>
          <w:caps w:val="false"/>
          <w:smallCaps w:val="false"/>
          <w:sz w:val="20"/>
        </w:rPr>
        <w:t>”) at a Redemption Price (expressed as a percentage of principal amount and rounded to three decimal places) equal to the greater of (i) 100% of the principal amount of such Notes being redeemed and (ii) (a) the sum of the present values of the Remaining Scheduled Payments (as defined below) of principal and interest thereon (assuming for such purpose that the Notes matured on the Par Call Date) discounted to the Redemption Date on an annual basis (ACTUAL / ACTUAL (ICMA)) at the applicable Comparable Government Bond Rate (as defined below) plus 15 basis points less (b) interest accrued to the date of redemption, plus, in each case, accrued and unpaid interest to the date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redeemable as a whole or in part, at the Company’s option, at any time and from time to time on or after the Par Call Date, at a Redemption Price equal to 100% of the principal amount of the Notes being redeemed, plus accrued and unpaid interest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Comparable Government Bond</w:t>
      </w:r>
      <w:r>
        <w:rPr>
          <w:rFonts w:ascii="Times New Roman;Times;Serif" w:hAnsi="Times New Roman;Times;Serif"/>
          <w:b w:val="false"/>
          <w:i w:val="false"/>
          <w:caps w:val="false"/>
          <w:smallCaps w:val="false"/>
          <w:sz w:val="20"/>
        </w:rPr>
        <w:t>” means, in relation to any Comparable Government Bond Rate (as defined below) calculation, at the discretion of an independent investment bank selected by the Company, a German government bond whose maturity is closest to the maturity of the Notes, assuming for such purpose that the Notes matured on the Par Call Date, or if such independent investment bank in its discretion considers that such similar bond is not in issue, such other German government bond as such independent investment bank may, with the advice of three brokers of, and/or market makers in, German government bonds selected by the Company, determine to be appropriate for determining the Comparable Government Bond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Comparable Government Bond Rate</w:t>
      </w:r>
      <w:r>
        <w:rPr>
          <w:rFonts w:ascii="Times New Roman;Times;Serif" w:hAnsi="Times New Roman;Times;Serif"/>
          <w:b w:val="false"/>
          <w:i w:val="false"/>
          <w:caps w:val="false"/>
          <w:smallCaps w:val="false"/>
          <w:sz w:val="20"/>
        </w:rPr>
        <w:t>” means, with respect to any Redemption Date, the price, expressed as a percentage (rounded to three decimal places, with 0.0005 being rounded upwards), at which the gross redemption yield on the Notes, if they were to be purchased at such price on the third Business Day prior to the date fixed for redemption, would be equal to the gross redemption yield on such Business Day of the Comparable Government Bond on the basis of the middle market price of the Comparable Government Bond prevailing at 11:00 a.m. (London time) on such Business Day as determined by an independent investment bank selected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val="false"/>
          <w:caps w:val="false"/>
          <w:smallCaps w:val="false"/>
          <w:sz w:val="20"/>
        </w:rPr>
        <w:t>Remaining Scheduled Payments</w:t>
      </w:r>
      <w:r>
        <w:rPr>
          <w:rFonts w:ascii="Times New Roman;Times;Serif" w:hAnsi="Times New Roman;Times;Serif"/>
          <w:b w:val="false"/>
          <w:i w:val="false"/>
          <w:caps w:val="false"/>
          <w:smallCaps w:val="false"/>
          <w:sz w:val="20"/>
        </w:rPr>
        <w:t xml:space="preserve">” means, with respect to each Note to be redeemed, the remaining scheduled payments of the principal thereof and interest thereon that would be due after the related Redemption Date but for such redemption, assuming for such purpose that such Note matured on the Par Call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such Redemption Date is not an Interest Payment Date with respect to such Note, the amount of the next succeeding scheduled interest payment thereon will be deemed to be reduced by the amount of interest accrued thereon to such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October 9, 2026, the Company becomes or, based upon a written opinion of independent counsel selected by the Company, will become obligated to pay additional amounts as described below with respect to the Notes, then the Company may at any time at its option redeem, in whole, but not in part, the Notes at a Redemption Price equal to 100% of their principal amount, together with accrued and unpaid interest on those Notes to, but not including, the date fixed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will, subject to the exceptions and limitations set forth below, pay as additional interest on the Notes such additional amounts as are necessary in order that the net payment by the Company of the principal of and interest on the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obligation to pay additional amounts shall not apply: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left"/>
              <w:rPr/>
            </w:pPr>
            <w:r>
              <w:rPr/>
              <w:t>to any tax, assessment or other governmental charge that is imposed by reason of the Holder (or the beneficial owner for whose benefit such Holder holds such Note), or a fiduciary, settlor, beneficiary, member or shareholder of the Holder if the Holder is an estate, trust, partnership or corporation, or a person holding a power over an estate or trust administered by a fiduciary holder, being considered 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(a)</w:t>
            </w:r>
          </w:p>
        </w:tc>
        <w:tc>
          <w:tcPr>
            <w:tcW w:w="9916" w:type="dxa"/>
            <w:tcBorders/>
            <w:vAlign w:val="center"/>
          </w:tcPr>
          <w:p>
            <w:pPr>
              <w:pStyle w:val="TableContents"/>
              <w:bidi w:val="0"/>
              <w:spacing w:before="0" w:after="283"/>
              <w:jc w:val="left"/>
              <w:rPr/>
            </w:pPr>
            <w:r>
              <w:rPr/>
              <w:t>being or having been engaged in a trade or business in the United States or having or having had a permanent establishment in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left"/>
              <w:rPr/>
            </w:pPr>
            <w:r>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left"/>
              <w:rPr/>
            </w:pPr>
            <w:r>
              <w:rPr/>
              <w:t>being or having been a personal holding company, a passive foreign investment company or a controlled foreign corporation for United States federal income tax purposes or a corporation that has accumulated earnings to avoid United States federal income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left"/>
              <w:rPr/>
            </w:pPr>
            <w:r>
              <w:rPr/>
              <w:t>being or having been a “10-percent shareholder” of the Company as defined in Section 871(h)(3) of the United States Internal Revenue Code of 1986, as amended (the “</w:t>
            </w:r>
            <w:r>
              <w:rPr>
                <w:b/>
              </w:rPr>
              <w:t>Code</w:t>
            </w:r>
            <w:r>
              <w:rPr/>
              <w:t>”) or any successor provision;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9" w:type="dxa"/>
            <w:tcBorders/>
            <w:vAlign w:val="center"/>
          </w:tcPr>
          <w:p>
            <w:pPr>
              <w:pStyle w:val="TableContents"/>
              <w:bidi w:val="0"/>
              <w:spacing w:before="0" w:after="283"/>
              <w:jc w:val="left"/>
              <w:rPr/>
            </w:pPr>
            <w:r>
              <w:rPr/>
              <w:t>being a bank receiving payments on an extension of credit made pursuant to a loan agreement entered into in the ordinary course of its trade or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left"/>
              <w:rPr/>
            </w:pPr>
            <w:r>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left"/>
              <w:rPr/>
            </w:pPr>
            <w:r>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(4)</w:t>
            </w:r>
          </w:p>
        </w:tc>
        <w:tc>
          <w:tcPr>
            <w:tcW w:w="9905" w:type="dxa"/>
            <w:tcBorders/>
            <w:vAlign w:val="center"/>
          </w:tcPr>
          <w:p>
            <w:pPr>
              <w:pStyle w:val="TableContents"/>
              <w:bidi w:val="0"/>
              <w:spacing w:before="0" w:after="283"/>
              <w:jc w:val="left"/>
              <w:rPr/>
            </w:pPr>
            <w:r>
              <w:rPr/>
              <w:t>to any tax, assessment or other governmental charge that is imposed otherwise than by withholding by the Company or a Paying Agent from the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(5)</w:t>
            </w:r>
          </w:p>
        </w:tc>
        <w:tc>
          <w:tcPr>
            <w:tcW w:w="9928" w:type="dxa"/>
            <w:tcBorders/>
            <w:vAlign w:val="center"/>
          </w:tcPr>
          <w:p>
            <w:pPr>
              <w:pStyle w:val="TableContents"/>
              <w:bidi w:val="0"/>
              <w:spacing w:before="0" w:after="283"/>
              <w:jc w:val="left"/>
              <w:rPr/>
            </w:pPr>
            <w:r>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(6)</w:t>
            </w:r>
          </w:p>
        </w:tc>
        <w:tc>
          <w:tcPr>
            <w:tcW w:w="9905" w:type="dxa"/>
            <w:tcBorders/>
            <w:vAlign w:val="center"/>
          </w:tcPr>
          <w:p>
            <w:pPr>
              <w:pStyle w:val="TableContents"/>
              <w:bidi w:val="0"/>
              <w:spacing w:before="0" w:after="283"/>
              <w:jc w:val="left"/>
              <w:rPr/>
            </w:pPr>
            <w:r>
              <w:rPr/>
              <w:t>to any estate, inheritance, gift, sales, excise, transfer, wealth, capital gains or personal property tax or similar tax, assessment or other governmental charge;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(7)</w:t>
            </w:r>
          </w:p>
        </w:tc>
        <w:tc>
          <w:tcPr>
            <w:tcW w:w="9924" w:type="dxa"/>
            <w:tcBorders/>
            <w:vAlign w:val="center"/>
          </w:tcPr>
          <w:p>
            <w:pPr>
              <w:pStyle w:val="TableContents"/>
              <w:bidi w:val="0"/>
              <w:spacing w:before="0" w:after="283"/>
              <w:jc w:val="left"/>
              <w:rPr/>
            </w:pPr>
            <w:r>
              <w:rPr/>
              <w:t>to any tax, assessment or other governmental charge required to be withheld by any Paying Agent from any payment of principal of or interest on any Note, if such payment can be made without such withholding by at least one other Paying Agent;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(8)</w:t>
            </w:r>
          </w:p>
        </w:tc>
        <w:tc>
          <w:tcPr>
            <w:tcW w:w="9933" w:type="dxa"/>
            <w:tcBorders/>
            <w:vAlign w:val="center"/>
          </w:tcPr>
          <w:p>
            <w:pPr>
              <w:pStyle w:val="TableContents"/>
              <w:bidi w:val="0"/>
              <w:spacing w:before="0" w:after="283"/>
              <w:jc w:val="left"/>
              <w:rPr/>
            </w:pPr>
            <w:r>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(9)</w:t>
            </w:r>
          </w:p>
        </w:tc>
        <w:tc>
          <w:tcPr>
            <w:tcW w:w="9936" w:type="dxa"/>
            <w:tcBorders/>
            <w:vAlign w:val="center"/>
          </w:tcPr>
          <w:p>
            <w:pPr>
              <w:pStyle w:val="TableContents"/>
              <w:bidi w:val="0"/>
              <w:spacing w:before="0" w:after="283"/>
              <w:jc w:val="left"/>
              <w:rPr/>
            </w:pPr>
            <w:r>
              <w:rPr/>
              <w:t>to any tax, assessment or other governmental charge that is imposed or withheld solely by reason of the beneficial owner being a bank (i) purchasing the Notes in the ordinary course of its lending business or (ii) that is neither (A) buying the Notes for investment purposes only nor (B) buying the Notes for resale to a third-party that either is not a bank or holding the Notes for investment purposes only;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(10)</w:t>
            </w:r>
          </w:p>
        </w:tc>
        <w:tc>
          <w:tcPr>
            <w:tcW w:w="9821" w:type="dxa"/>
            <w:tcBorders/>
            <w:vAlign w:val="center"/>
          </w:tcPr>
          <w:p>
            <w:pPr>
              <w:pStyle w:val="TableContents"/>
              <w:bidi w:val="0"/>
              <w:spacing w:before="0" w:after="283"/>
              <w:jc w:val="left"/>
              <w:rPr/>
            </w:pPr>
            <w:r>
              <w:rPr/>
              <w:t>to any tax, assessment or other governmental charge imposed under Sections 1471 through 1474 of the Internal Revenue Code (or any amended or successor provisions), any current or future regulations or official interpretations thereof, any agreement entered into pursuant to Section 1471(b) of the Internal Revenue Code or any fiscal or regulatory legislation, rules or practices adopted pursuant to any intergovernmental agreement entered into in connection with the implementation of such sections of the Internal Revenue Code;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90"/>
        <w:gridCol w:w="9670"/>
      </w:tblGrid>
      <w:tr>
        <w:trPr/>
        <w:tc>
          <w:tcPr>
            <w:tcW w:w="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pPr>
            <w:r>
              <w:rPr/>
              <w:t>(11)</w:t>
            </w:r>
          </w:p>
        </w:tc>
        <w:tc>
          <w:tcPr>
            <w:tcW w:w="9670" w:type="dxa"/>
            <w:tcBorders/>
            <w:vAlign w:val="center"/>
          </w:tcPr>
          <w:p>
            <w:pPr>
              <w:pStyle w:val="TableContents"/>
              <w:bidi w:val="0"/>
              <w:spacing w:before="0" w:after="283"/>
              <w:jc w:val="left"/>
              <w:rPr/>
            </w:pPr>
            <w:r>
              <w:rPr/>
              <w:t>in the case of any combination of items (1), (2), (3), (4), (5), (6), (7), (8), (9) and (10).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subject in all cases to any tax, fiscal or other law or regulation or administrative or judicial interpretation applicable to the Notes. Except as noted above, the Company will not be required to make any payment for any tax, assessment or other governmental charge imposed by any government or a political subdivision or taxing authority of or in any government or political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above, the term “</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 (including the states of the United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transmitted at least 10 days but not more than 60 days before the Redemption Date to each Holder of Notes to be redeemed (or delivered electronically in accordance with the procedures of the Depositary). Any redemption notice may, at the Company’s discretion, be subject to one or more conditions precedent, including completion of a corporate transaction. In such event, the related notice of redemption shall describe each such condition and, if applicable, shall state that, at the Company’s discretion, the Redemption Date may be delayed until such time (including more than 60 days after the notice of redemption was given) as any or all such conditions shall be satisfied or waived, or such redemption may not occur and such notice may be rescinded in the event that any or all such conditions shall not have been satisfied (or waived by the Company in its sole discretion) by the Redemption Date, or by the Redemption Date as so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fewer than all of the Notes are to be redeemed, selection of the Notes for redemption will be made by lot by the Trustee, subject to the last sentence of this paragraph. No notes of a principal amount of €100,000 or less will be redeemed in part. If any Note is to be redeemed only in part, the notice of redemption that relates to such Note shall state the portion of the principal amount thereof to be redeemed. A new Note in a principal amount equal to the unredeemed portion of the principal of the Note surrendered may be issued in the name of the Holder of the Note upon surrender of the original Note. For as long as the Notes are held by the Depositary, the redemption of the Notes will be done in accordance with the policies and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will not be responsible for calculating the Redemption Price of the Notes or portions thereof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herein, redemption of the Notes shall be made in accordance with the terms of Article 11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any series under the Indenture at any time by the Company and the Trustee with the consent of the Holders of a majority in aggregate principal amount of the Securities at the time Outstanding of each series to be affected by such amendment or modification (voting together as a single class). The Indenture also contains provisions permitting the Holders of a majority in aggregate principal amount of the Securities of each affected series at the time Outstanding (voting together as a single class)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registration of transfer hereof or in exchange herefor or in lieu hereof, whether or not notation of such consent or waiver is made upon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setting forth certain conditions to the institution of proceedings by Holders of Securities with respect to the Indenture or for any remedy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the Notes shall occur and be continuing, the principal amount hereof may be declared due and payable or may be otherwise accelerated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Note is registerable in the Security Register, upon surrender of this Note for registration of transfer at the office or agency of the Company in any Place of Payment duly endorsed, or accompanied by a written instrument of transfer in form satisfactory to the Company and the Security Registrar duly executed, by the Holder hereof or his attorney duly authorized in writing, and thereupon one or more new Notes,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only in registered form without coupons in minimum denominations of €100,000 and integral multiples of €1,000 in excess thereof. As provided in the Indenture and subject to certain limitations therein set forth, this Note is exchangeable for certificated notes in definitive form of like tenor in minimum denominations of €100,000 principal amount and integral multiples of €1,000 in excess thereof if (i) the Depositary provides notification that it is unwilling, unable or no longer qualified to continue as depositary for the global notes and a successor is not appointed within 90 days; (ii) the Company in its discretion at any time determines not to have all the Notes represented by the global note; or (iii) default entitling the Holders of Notes to accelerate the maturity thereof has occurred and is continuing. Any Note that is exchangeable as above is exchangeable for certificated notes issuable in authorized denominations and registered in such names as the common depositary shall direct. Subject to the foregoing, a global note is not exchangeable, except for a global note of the same aggregate denomination to be registered in the name of the common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(including principal, interest and any additional amounts) and transfers with respect to the Notes in certificated form may be executed at the office or agency maintained for such purpose within the City of London (initially the office of the Paying Agent maintained for such purpose) or, at the Company’s option, by check mailed to the Holders thereof at the respective addresses set forth in the register of Holders of the Notes, provided that all payments (including principal, interest and any additional amounts) on certificated notes, for which the Holders thereof have given wire transfer instructions, will be required to be made by wire transfer of immediately available funds to the accounts specified by the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or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presentment of this Note for registration of transfer, the Company, the Trustee and any agent of the Company or the Trustee may treat the Person in whose name this Note is registered as the owner hereof for the purpose of receiving payment as herein provided and for all other purposes, whether or not this Note is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be executed in any number of counterparts, each of which when so executed shall be deemed to be an original, but all of which shall together constitute but one and the same instrument. The signature of any officer on this Note may be manual or facsimile (including, for the avoidance of doubt, electronic). The Company and the Trustee, and each Holder of this Note by its acceptance hereof, acknowledge that for purposes of the Indenture, manually affixing a signature by electronic means shall constitute a manual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Note which are defined in the Indenture and are not otherwise defined herein shall have the meanings assigned to them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hereby sell(s), assign(s) and transfer(s) unto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 NAME AND ADDRESS, INCLUDING ZIP CODE, OF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within Note and all rights thereunder, hereby irrevocably constituting and appointing _________________________ attorney to transfer such Note on the books of the Issuer,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written upon the face of the within Note in every particular without alteration or enlargement or any change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6" w:name="tm2627433d2_ex5-1.htm"/>
      <w:bookmarkStart w:id="77" w:name="kstm2627433d2_ex51"/>
      <w:bookmarkEnd w:id="76"/>
      <w:bookmarkEnd w:id="77"/>
      <w:r>
        <w:rPr>
          <w:rFonts w:ascii="Times New Roman;Times;Serif" w:hAnsi="Times New Roman;Times;Serif"/>
          <w:b/>
          <w:i w:val="false"/>
          <w:caps w:val="false"/>
          <w:smallCaps w:val="false"/>
          <w:sz w:val="20"/>
        </w:rPr>
        <w:t>Exhibits 5.1 and 23.1</w:t>
      </w:r>
      <w:r>
        <w:br w:type="page"/>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2340"/>
        <w:gridCol w:w="2270"/>
        <w:gridCol w:w="60"/>
        <w:gridCol w:w="75"/>
      </w:tblGrid>
      <w:tr>
        <w:trPr/>
        <w:tc>
          <w:tcPr>
            <w:tcW w:w="2340" w:type="dxa"/>
            <w:tcBorders/>
            <w:vAlign w:val="center"/>
          </w:tcPr>
          <w:p>
            <w:pPr>
              <w:pStyle w:val="TableContents"/>
              <w:bidi w:val="0"/>
              <w:spacing w:before="0" w:after="283"/>
              <w:jc w:val="left"/>
              <w:rPr/>
            </w:pPr>
            <w:r>
              <w:rPr/>
              <w:drawing>
                <wp:inline distT="0" distB="0" distL="0" distR="0">
                  <wp:extent cx="147637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476375" cy="314325"/>
                          </a:xfrm>
                          <a:prstGeom prst="rect">
                            <a:avLst/>
                          </a:prstGeom>
                        </pic:spPr>
                      </pic:pic>
                    </a:graphicData>
                  </a:graphic>
                </wp:inline>
              </w:drawing>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Davis Polk &amp; Wardwell </w:t>
            </w:r>
            <w:r>
              <w:rPr>
                <w:rFonts w:ascii="Times New Roman;Times;Serif" w:hAnsi="Times New Roman;Times;Serif"/>
                <w:smallCaps/>
                <w:sz w:val="20"/>
              </w:rPr>
              <w:t>llp</w:t>
              <w:br/>
            </w:r>
            <w:r>
              <w:rPr>
                <w:rFonts w:ascii="Times New Roman;Times;Serif" w:hAnsi="Times New Roman;Times;Serif"/>
                <w:sz w:val="20"/>
              </w:rPr>
              <w:t>450 Lexington Avenue</w:t>
              <w:br/>
              <w:t>New York, NY 10017</w:t>
              <w:br/>
              <w:t>davispolk.com</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PepsiCo, Inc.</w:t>
        <w:br/>
        <w:t>700 Anderson Hill Road</w:t>
        <w:br/>
        <w:t>Purchase, New York 10577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for PepsiCo, Inc. (the “Company”), a North Carolina corporation, in connection with the Registration Statement on Form S-3 (File No. 333-277003) (the “Registration Statement”) filed by the Company with the Securities and Exchange Commission (the “Commission”) pursuant to the Securities Act of 1933, as amended (the “Securities Act”), for the registration by the Company of €500,000,000 aggregate principal amount of its 3.750% Senior Notes due 2029 (the “2029 Notes”) and €500,000,000 aggregate principal amount of its 4.250% Senior Notes due 2035 (together with the 2029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issued pursuant to the Indenture dated as of February 12, 2024 (the “Indenture”) between the Company and U.S. Bank Trust Company, National Association, as trustee, and to be sold pursuant to a Terms Agreement dated as of October 9, 2026 (incorporating the PepsiCo, Inc. Underwriting Agreement Standard Provisions dated as of November 18, 2019, the “Terms Agreement”) among the Company and the several underwriters named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additional assumptions and qualifications set forth below, we advise you that, in our opinion, when the Notes have been duly executed, authenticated, issued and delivered in accordance with the Indenture and the Terms Agreement against payment therefor, the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the enforceability of any waiver of rights under any usury or stay law and (y) the effect of fraudulent conveyance, fraudulent transfer or similar provision of applicable law on the conclusions expressed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opinion expressed above, we have assumed that (i) the Registration Statement became effective upon filing with the Commission and such effectiveness shall not have been terminated or rescinded; and (ii) the Indenture and the Notes are valid, binding and enforceable agreements of each party thereto (other than as expressly covered above in respect of the Company). We have also assumed that the execution, delivery and performance of the Indenture and the Notes by the Company (x) have been duly authorized in accordance with the laws of the State of North Carolina and (y) will not violate any applicable law or public policy or result in a violation of any provision of any instrument or agreement binding upon the Company, or any restriction imposed by any court or governmental body having jurisdiction over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and the foregoing opinion is limited to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to be filed by the Company on the date hereof and to its incorporation by reference into the Registration Statement. In addition, we consent to the reference to our name under the caption “Legal Opinions” in the preliminary prospectus supplement dated October 9, 2026 and the prospectus supplement dated October 9, 2026, and under the caption “Validity of Securities” in the prospectus dated February 12, 2024, each of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8" w:name="tm2627433d2_ex5-2.htm"/>
      <w:bookmarkStart w:id="79" w:name="kstm2627433d2_ex52"/>
      <w:bookmarkEnd w:id="78"/>
      <w:bookmarkEnd w:id="79"/>
      <w:r>
        <w:rPr>
          <w:rFonts w:ascii="Times New Roman;Times;Serif" w:hAnsi="Times New Roman;Times;Serif"/>
          <w:b/>
          <w:i w:val="false"/>
          <w:caps w:val="false"/>
          <w:smallCaps w:val="false"/>
          <w:sz w:val="20"/>
        </w:rPr>
        <w:t>Exhibits 5.2 and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PepsiCo, Inc.</w:t>
        <w:br/>
        <w:t>700 Anderson Hill Road</w:t>
        <w:br/>
        <w:t>Purchase, New York 10577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North Carolina counsel to PepsiCo, Inc., a North Carolina corporation (the “Company”) in connection with the Registration Statement on Form S-3 (File No. 333-277003) (the “Registration Statement”) filed by the Company with the Securities and Exchange Commission (the “Commission”) pursuant to the Securities Act of 1933, as amended (the “1933 Act”), for the registration by the Company of €500,000,000 aggregate principal amount of its 3.750% Senior Notes due 2029 (the “2029 Notes”) and €500,000,000 aggregate principal amount of its 4.250% Senior Notes due 2035 (together with the 2029 Notes, the “Notes”). The Notes are to be issued pursuant to the Indenture dated as of February 12, 2024 (the “Indenture”) between the Company and U.S. Bank Trust Company, National Association, as trustee, and to be sold pursuant to a Terms Agreement dated as of October 9, 2026 (incorporating the PepsiCo, Inc. Underwriting Agreement Standard Provisions dated as of November 18, 2019, the “Terms Agreement”) among the Company and the several underwriters named therein. This opinion is delivered to you pursuant to Item 16 of Form S-3 and Item 601(b)(5) of Regulation S-K of the Commission. This opinion is being furnished in accordance with the requirements of Item 601(b)(5) of Regulation S-K under the 1933 Act, and no opinion is expressed herein as to any matter pertaining to the contents of the Registration Statement, the prospectus or any prospectus supplement other than as expressly stated herein with respect to the issuance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Company’s special North Carolina counsel, we have examined originals or copies, certified or otherwise identified to our satisfaction, of the Company’s articles of incorporation and by-laws, each as amended to date, and minutes and records of the corporate proceedings of the Company relating to the filing of the Registration Statement and the issuance of the Notes, as provided to us by the Company, certificates of public officials and of representatives of the Company, and statutes and other instruments and documents, as a basis for the opinion hereinafter expressed. In rendering this opinion, we have relied upon certificates of public officials and representatives of the Company with respect to the accuracy of the factual matters contained in such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such examination, we have assumed (a) the genuineness of all signatures and the legal capacity of all signatories; (b) the authenticity of all documents submitted to us as originals and the conformity to original documents of all documents submitted to us as certified or photostatic copies; and (c) the proper issuance and accuracy of certificates of public officials and representatives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we advise you that, in our opinion, the Indenture and the Notes have been duly authorized by all necessary corporate action of the Company, and have been duly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limited to the laws of the State of North Carolina, and we are expressing no opinion as to the effect of the laws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rendered as of the date hereof, and we undertake no obligation to advise you of any changes in applicable law or any other matters that may come to our attention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to be filed by the Company on the date hereof and to its incorporation by reference into the Registration Statement. In addition, we consent to any reference to the name of our firm under the caption “Legal Opinions” in the preliminary prospectus supplement dated October 9, 2026 and the prospectus supplement dated October 9, 2026, and under the caption “Validity of Securities” in the prospectus dated February 12, 2024, each of which is a part of the Registration Statement. In giving this consent, we do not admit that we are in the category of persons whose consent is required under Section 7 of the 1933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3680" w:type="dxa"/>
        <w:jc w:val="left"/>
        <w:tblInd w:w="0" w:type="dxa"/>
        <w:tblLayout w:type="fixed"/>
        <w:tblCellMar>
          <w:top w:w="0" w:type="dxa"/>
          <w:left w:w="0" w:type="dxa"/>
          <w:bottom w:w="0" w:type="dxa"/>
          <w:right w:w="0" w:type="dxa"/>
        </w:tblCellMar>
      </w:tblPr>
      <w:tblGrid>
        <w:gridCol w:w="75"/>
        <w:gridCol w:w="3605"/>
      </w:tblGrid>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WOMBLE BOND DICKINSON (US) LLP</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WOMBLE BOND DICKINSON (US) LLP</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7476/000104746919006367/a2240066zex-1_2.htm" TargetMode="External"/><Relationship Id="rId3" Type="http://schemas.openxmlformats.org/officeDocument/2006/relationships/hyperlink" Target="https://www.sec.gov/Archives/edgar/data/77476/000104746919006367/a2240066zex-1_2.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14509</Words>
  <Characters>74397</Characters>
  <CharactersWithSpaces>89004</CharactersWithSpaces>
  <Paragraphs>1220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