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8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14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4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43"/>
          <w:szCs w:val="43"/>
          <w:b w:val="1"/>
          <w:bCs w:val="1"/>
          <w:color w:val="auto"/>
        </w:rPr>
        <w:t>PepsiCo, Inc.</w:t>
      </w:r>
    </w:p>
    <w:p>
      <w:pPr>
        <w:spacing w:after="0" w:line="14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940"/>
          </w:cols>
          <w:pgMar w:left="320" w:top="1440" w:right="639" w:bottom="1440" w:gutter="0" w:footer="0" w:header="0"/>
        </w:sectPr>
      </w:pPr>
    </w:p>
    <w:p>
      <w:pPr>
        <w:spacing w:after="0" w:line="200" w:lineRule="exact"/>
        <w:rPr>
          <w:sz w:val="24"/>
          <w:szCs w:val="24"/>
          <w:color w:val="auto"/>
        </w:rPr>
      </w:pPr>
    </w:p>
    <w:p>
      <w:pPr>
        <w:spacing w:after="0" w:line="39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0" w:lineRule="exact"/>
        <w:rPr>
          <w:sz w:val="24"/>
          <w:szCs w:val="24"/>
          <w:color w:val="auto"/>
        </w:rPr>
      </w:pPr>
    </w:p>
    <w:p>
      <w:pPr>
        <w:jc w:val="center"/>
        <w:ind w:right="2920"/>
        <w:spacing w:after="0"/>
        <w:rPr>
          <w:sz w:val="20"/>
          <w:szCs w:val="20"/>
          <w:color w:val="auto"/>
        </w:rPr>
      </w:pPr>
      <w:r>
        <w:rPr>
          <w:rFonts w:ascii="Times New Roman" w:cs="Times New Roman" w:eastAsia="Times New Roman" w:hAnsi="Times New Roman"/>
          <w:sz w:val="17"/>
          <w:szCs w:val="17"/>
          <w:b w:val="1"/>
          <w:bCs w:val="1"/>
          <w:color w:val="auto"/>
        </w:rPr>
        <w:t>1-1183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13-1584302</w:t>
      </w:r>
    </w:p>
    <w:p>
      <w:pPr>
        <w:spacing w:after="0" w:line="12" w:lineRule="exact"/>
        <w:rPr>
          <w:sz w:val="24"/>
          <w:szCs w:val="24"/>
          <w:color w:val="auto"/>
        </w:rPr>
      </w:pPr>
    </w:p>
    <w:p>
      <w:pPr>
        <w:sectPr>
          <w:pgSz w:w="11900" w:h="16838" w:orient="portrait"/>
          <w:cols w:equalWidth="0" w:num="3">
            <w:col w:w="4640" w:space="720"/>
            <w:col w:w="3420" w:space="720"/>
            <w:col w:w="1440"/>
          </w:cols>
          <w:pgMar w:left="320" w:top="1440" w:right="639" w:bottom="1440" w:gutter="0" w:footer="0" w:header="0"/>
          <w:type w:val="continuous"/>
        </w:sectPr>
      </w:pPr>
    </w:p>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3460" w:space="720"/>
            <w:col w:w="1560"/>
          </w:cols>
          <w:pgMar w:left="320" w:top="1440" w:right="639" w:bottom="1440" w:gutter="0" w:footer="0" w:header="0"/>
          <w:type w:val="continuous"/>
        </w:sectPr>
      </w:pPr>
    </w:p>
    <w:p>
      <w:pPr>
        <w:spacing w:after="0" w:line="27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700 Anderson Hill Road, Purchase, New York</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10577</w:t>
      </w:r>
    </w:p>
    <w:p>
      <w:pPr>
        <w:spacing w:after="0" w:line="31" w:lineRule="exact"/>
        <w:rPr>
          <w:sz w:val="24"/>
          <w:szCs w:val="24"/>
          <w:color w:val="auto"/>
        </w:rPr>
      </w:pPr>
    </w:p>
    <w:p>
      <w:pPr>
        <w:sectPr>
          <w:pgSz w:w="11900" w:h="16838" w:orient="portrait"/>
          <w:cols w:equalWidth="0" w:num="2">
            <w:col w:w="7940" w:space="720"/>
            <w:col w:w="2280"/>
          </w:cols>
          <w:pgMar w:left="320" w:top="1440" w:right="6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840" w:space="720"/>
            <w:col w:w="2380"/>
          </w:cols>
          <w:pgMar w:left="320" w:top="1440" w:right="639" w:bottom="1440" w:gutter="0" w:footer="0" w:header="0"/>
          <w:type w:val="continuous"/>
        </w:sectPr>
      </w:pPr>
    </w:p>
    <w:p>
      <w:pPr>
        <w:spacing w:after="0" w:line="27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David Flavell</w:t>
      </w:r>
    </w:p>
    <w:p>
      <w:pPr>
        <w:jc w:val="center"/>
        <w:ind w:right="-219"/>
        <w:spacing w:after="0" w:line="219" w:lineRule="auto"/>
        <w:rPr>
          <w:sz w:val="20"/>
          <w:szCs w:val="20"/>
          <w:color w:val="auto"/>
        </w:rPr>
      </w:pPr>
      <w:r>
        <w:rPr>
          <w:rFonts w:ascii="Times New Roman" w:cs="Times New Roman" w:eastAsia="Times New Roman" w:hAnsi="Times New Roman"/>
          <w:sz w:val="18"/>
          <w:szCs w:val="18"/>
          <w:b w:val="1"/>
          <w:bCs w:val="1"/>
          <w:color w:val="auto"/>
        </w:rPr>
        <w:t>Executive Vice President,</w:t>
      </w:r>
    </w:p>
    <w:p>
      <w:pPr>
        <w:jc w:val="center"/>
        <w:ind w:right="-219"/>
        <w:spacing w:after="0" w:line="203" w:lineRule="auto"/>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(914) 253-2000</w:t>
      </w:r>
    </w:p>
    <w:p>
      <w:pPr>
        <w:spacing w:after="0" w:line="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w:t>
      </w: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report)</w:t>
      </w:r>
    </w:p>
    <w:p>
      <w:pPr>
        <w:spacing w:after="0" w:line="200" w:lineRule="exact"/>
        <w:rPr>
          <w:sz w:val="24"/>
          <w:szCs w:val="24"/>
          <w:color w:val="auto"/>
        </w:rPr>
      </w:pPr>
    </w:p>
    <w:p>
      <w:pPr>
        <w:spacing w:after="0" w:line="370"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324" w:lineRule="exact"/>
        <w:rPr>
          <w:sz w:val="24"/>
          <w:szCs w:val="24"/>
          <w:color w:val="auto"/>
        </w:rPr>
      </w:pPr>
    </w:p>
    <w:p>
      <w:pPr>
        <w:ind w:left="1540" w:hanging="650"/>
        <w:spacing w:after="0"/>
        <w:tabs>
          <w:tab w:leader="none" w:pos="15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2025.</w:t>
      </w:r>
    </w:p>
    <w:p>
      <w:pPr>
        <w:spacing w:after="0" w:line="223" w:lineRule="exact"/>
        <w:rPr>
          <w:sz w:val="24"/>
          <w:szCs w:val="24"/>
          <w:color w:val="auto"/>
        </w:rPr>
      </w:pPr>
    </w:p>
    <w:p>
      <w:pPr>
        <w:ind w:left="1540" w:hanging="650"/>
        <w:spacing w:after="0"/>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w:t>
      </w:r>
    </w:p>
    <w:p>
      <w:pPr>
        <w:sectPr>
          <w:pgSz w:w="11900" w:h="16838" w:orient="portrait"/>
          <w:cols w:equalWidth="0" w:num="1">
            <w:col w:w="10940"/>
          </w:cols>
          <w:pgMar w:left="320" w:top="1440"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8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 copy of the Conflict Minerals Report of PepsiCo, Inc. (the “Company”) has been attached as Exhibit 1.01 hereto and is publicly available at http://www.pepsico.com. Information on the Company’s website is not and should not be considered part of, nor is it incorporated by reference into, this Form SD.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required by Item 1.01 is filed as Exhibit 1.01 hereto.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FF"/>
        </w:rPr>
        <w:t>Conflict Minerals Report as required by Items 1.01 and 1.02 of this Form</w:t>
      </w:r>
      <w:r>
        <w:rPr>
          <w:rFonts w:ascii="Arial" w:cs="Arial" w:eastAsia="Arial" w:hAnsi="Arial"/>
          <w:sz w:val="18"/>
          <w:szCs w:val="18"/>
          <w:color w:val="auto"/>
        </w:rPr>
        <w:t>.</w:t>
      </w:r>
    </w:p>
    <w:p>
      <w:pPr>
        <w:sectPr>
          <w:pgSz w:w="11900" w:h="16838" w:orient="portrait"/>
          <w:cols w:equalWidth="0" w:num="1">
            <w:col w:w="11240"/>
          </w:cols>
          <w:pgMar w:left="320" w:top="1413"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3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PepsiCo, Inc.</w:t>
      </w:r>
    </w:p>
    <w:p>
      <w:pPr>
        <w:spacing w:after="0" w:line="50" w:lineRule="exact"/>
        <w:rPr>
          <w:sz w:val="20"/>
          <w:szCs w:val="20"/>
          <w:color w:val="auto"/>
        </w:rPr>
      </w:pPr>
    </w:p>
    <w:p>
      <w:pPr>
        <w:ind w:left="120"/>
        <w:spacing w:after="0"/>
        <w:tabs>
          <w:tab w:leader="none" w:pos="5640" w:val="left"/>
          <w:tab w:leader="none" w:pos="652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Cynthia Nastanski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2940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Cynthia Nastanski</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Senior Vice President, Corporate Law and Deputy</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0640"/>
          </w:cols>
          <w:pgMar w:left="320" w:top="1413" w:right="939" w:bottom="1440" w:gutter="0" w:footer="0" w:header="0"/>
        </w:sectPr>
      </w:pPr>
    </w:p>
    <w:bookmarkStart w:id="3" w:name="page4"/>
    <w:bookmarkEnd w:id="3"/>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PepsiCo, Inc. Conflict Minerals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calendar year ended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Background</w:t>
      </w:r>
    </w:p>
    <w:p>
      <w:pPr>
        <w:spacing w:after="0" w:line="216"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This Conflict Minerals Report (this “Report”) of PepsiCo, Inc. (“PepsiCo”) was prepared pursuant to Rule 13p-1 (together with Form SD, the “Rule”) under the Securities Exchange Act of 1934, as amended. The Rule requires disclosure of certain information when a public company manufactures or contracts to manufacture products that contain conflict minerals that are necessary to the functionality or production of those products if the company has reason to believe that the conflict minerals may have originated in the Democratic Republic of the Congo and the adjoining countries of Angola, Burundi, the Central African Republic, the Republic of the Congo, Rwanda, South Sudan, Tanzania, Uganda and Zambia (the “Covered Countries”). As defined by the Rule, and for the purposes of this Report, the conflict minerals are gold, columbite-tantalite (coltan), cassiterite and wolframite, including their derivatives as limited to tantalum, tin and tungsten (collectively, the “Conflict Minerals”).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COMPANY AND PRODUCT OVERVIEW</w:t>
      </w:r>
    </w:p>
    <w:p>
      <w:pPr>
        <w:spacing w:after="0" w:line="189"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PepsiCo is a leading global convenient foods and beverage company with a complementary portfolio of brands, including Lay's, Doritos, Cheetos, Gatorade, Pepsi-Cola, Mountain Dew, Quaker, and SodaStream. Through its operations, authorized bottlers, contract manufacturers and other third parties, PepsiCo makes, markets, distributes and sells a wide variety of convenient foods and beverages, serving customers and consumers in more than 200 countries and territories. On December 5, 2018, PepsiCo acquired all of the outstanding shares of SodaStream International Ltd. (“SodaStream”), a manufacturer and distributor of sparkling water makers. SodaStream develops, manufactures, distributes and sells sparkling water makers and exchangeable carbon-dioxide cylinders, along with consumables, including carbon-dioxide refills, reusable carbonation bottles and flavors to add to the sparkling water.</w:t>
      </w:r>
    </w:p>
    <w:p>
      <w:pPr>
        <w:spacing w:after="0" w:line="74"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PepsiCo conducted an analysis of the products that it manufactures or contracts to be manufactured and found that certain models of SodaStream’s sparkling water makers that were sold during calendar year 2025 contained electronic circuit boards and other electrical components which contain one or more Conflict Minerals. PepsiCo also determined that Conflict Minerals can be found in the brass components within SodaStream’s sparkling water makers and in the brass valves on SodaStream’s carbon-dioxide cylinders. While brass mainly consists of copper and zinc, brass may contain trace quantities of tin as an impurity in the other metals. These products are collectively referred to in this Report as the “Covered Products.” With the exception of the Covered Products, PepsiCo did not manufacture or contract to manufacture any other products that contain Conflict Minerals that are necessary to the functionality or production of those products.</w:t>
      </w:r>
    </w:p>
    <w:p>
      <w:pPr>
        <w:spacing w:after="0" w:line="7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As detailed below, based on the good faith reasonable country of origin inquiry regarding the Conflict Minerals in the Covered Products, PepsiCo had reason to believe that certain of the Conflict Minerals necessary to the functionality or production of the Covered Products may have originated in the Covered Countries and that such Conflict Minerals may not be from recycled or scrap sources.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DESIGN OF CONFLICT MINERALS PROGRAM</w:t>
      </w:r>
    </w:p>
    <w:p>
      <w:pPr>
        <w:spacing w:after="0" w:line="202"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PepsiCo’s due diligence measures have been designed to conform to, in all material respects, the five-step framework laid out by the Organization for Economic Co-operation and Development in its OECD Due Diligence Guidance for Responsible Supply Chains of Minerals from Conflict-Affected and High-Risk Areas: Third Edition (2016)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including the related supplements on gold, tin, tantalum and tungsten (collectively, the “OECD Guidance”). However, as described above, with the exception of the Covered Products manufactured by SodaStream, PepsiCo does not manufacture or contract to manufacture products that contain Conflict Minerals necessary to the functionality or production of those products. Therefore, certain steps of the OECD Guidance have been designed by PepsiCo to be limited to SodaStream and its supply chain as detailed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OECD Step 1:</w:t>
      </w:r>
      <w:r>
        <w:rPr>
          <w:rFonts w:ascii="Times New Roman" w:cs="Times New Roman" w:eastAsia="Times New Roman" w:hAnsi="Times New Roman"/>
          <w:sz w:val="18"/>
          <w:szCs w:val="18"/>
          <w:b w:val="1"/>
          <w:bCs w:val="1"/>
          <w:color w:val="auto"/>
        </w:rPr>
        <w:t xml:space="preserve"> Establish strong Company management systems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Policy</w:t>
      </w:r>
    </w:p>
    <w:p>
      <w:pPr>
        <w:spacing w:after="0" w:line="187"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PepsiCo has adopted a Conflict Minerals Policy that sets forth its commitment to responsibly sourcing minerals and establishes its expectations of its suppliers. This policy is available on PepsiCo’s website. Information on PepsiCo’s website is not and should not be considered part of, nor is it incorporated by reference into, this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Management Systems</w:t>
      </w:r>
    </w:p>
    <w:p>
      <w:pPr>
        <w:spacing w:after="0" w:line="187"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PepsiCo has an internal team consisting of cross-functional team members from the procurement, legal and finance departments charged with executing PepsiCo’s due diligence processes and with training employees outside of the team on their roles and responsibilities in connection with due diligence and compliance.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Controls System</w:t>
      </w:r>
    </w:p>
    <w:p>
      <w:pPr>
        <w:spacing w:after="0" w:line="187"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Neither PepsiCo nor SodaStream does any direct business with any smelters or refiners of Conflict Minerals. As “downstream” companies, generally there are multiple tiers between PepsiCo, SodaStream and the source of raw materials that enter the manufacturing process. Therefore, PepsiCo must rely on SodaStream’s direct suppliers to work with their upstream suppliers to provide PepsiCo with accurate information about the origin of Conflict Minerals in the materials and parts that are purchased by SodaStream for the Covered Products.</w:t>
      </w:r>
    </w:p>
    <w:p>
      <w:pPr>
        <w:spacing w:after="0" w:line="82"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For Covered Products, PepsiCo utilizes the Conflict Minerals Reporting Template (the “Template”) of the Responsible Business Alliance. The Template is designed to facilitate the transfer of information from suppliers in the supply chain regarding each mineral’s country of origin and the smelters and refiners being utilized for such mineral.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Engagement</w:t>
      </w:r>
    </w:p>
    <w:p>
      <w:pPr>
        <w:spacing w:after="0" w:line="200"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PepsiCo communicates with its in-scope suppliers to ensure they are aware of the Rule and that each in-scope supplier is expected to have a conflict minerals policy in place and to implement a system to trace the origin of any Conflict Minerals in its supply chain, including by collecting the information called for by the Template.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Grievance Mechanism</w:t>
      </w:r>
    </w:p>
    <w:p>
      <w:pPr>
        <w:spacing w:after="0" w:line="187"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PepsiCo maintains a third-party confidential hotline service and conflict minerals e-mail address that provides a mechanism to ask questions or report concerns about potential violations of the Conflict Minerals Policy.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OECD Step 2:</w:t>
      </w:r>
      <w:r>
        <w:rPr>
          <w:rFonts w:ascii="Times New Roman" w:cs="Times New Roman" w:eastAsia="Times New Roman" w:hAnsi="Times New Roman"/>
          <w:sz w:val="18"/>
          <w:szCs w:val="18"/>
          <w:b w:val="1"/>
          <w:bCs w:val="1"/>
          <w:color w:val="auto"/>
        </w:rPr>
        <w:t xml:space="preserve"> Identify and assess risks in the supply chain</w:t>
      </w:r>
    </w:p>
    <w:p>
      <w:pPr>
        <w:spacing w:after="0" w:line="202"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SodaStream identifies those suppliers from which it purchases components or materials for the Covered Products that may include Conflict Minerals and provides a list of those suppliers to PepsiCo. SodaStream then conducts an annual survey of these in-scope suppliers using the Template. Unresponsive suppliers are issued follow-up requests and survey responses are reviewed for completeness and accuracy.</w:t>
      </w:r>
    </w:p>
    <w:p>
      <w:pPr>
        <w:spacing w:after="0" w:line="4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auto"/>
        </w:rPr>
        <w:t>SodaStream received responses from all of the in-scope suppliers for calendar year 2025, including the names and locations of smelters and refiners from which such suppliers were able to determine it sourced Conflict Minerals. However, some suppliers indicated they were unable to identify all the smelters and refiners in their supply chains. The information received from suppliers was then analyzed and reviewed against the Responsible Minerals Initiative’s (“RMI”) list of smelters and refiners that have received an “active,” “conformant” or “eligible” designation through the Responsible Minerals Assurance Process (“RMAP”). The RMAP “conformant” list is composed of smelters and refiners that have successfully completed an independent third-party audit and were found to have systems and processes in place to support responsible sourcing of raw materials and can provide evidence to support their sourcing activities. In the case of gold refiners, this audit process may rely, in part, on applicable audit and related processes established by the London Bullion Market Association (“LBMA”) and Responsible Jewelry Council (“RJC”), in accordance with a cross-recognition policy adopted by RMI, LBMA, and RJC. The RMAP “active” list includes those smelters or refiners that are currently engaged in the RMAP but for which a conformance determination has not yet been made. “Eligible” facilities are those that are able to undergo an RMAP assessment based on the criteria in the applicable RMI standard. Inclusion as an “eligible” facility does not mean that the facility has successfully completed an RMAP assessment.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OECD Step 3:</w:t>
      </w:r>
      <w:r>
        <w:rPr>
          <w:rFonts w:ascii="Times New Roman" w:cs="Times New Roman" w:eastAsia="Times New Roman" w:hAnsi="Times New Roman"/>
          <w:sz w:val="18"/>
          <w:szCs w:val="18"/>
          <w:b w:val="1"/>
          <w:bCs w:val="1"/>
          <w:color w:val="auto"/>
        </w:rPr>
        <w:t xml:space="preserve"> Design and implement a strategy to respond to identified risks</w:t>
      </w:r>
    </w:p>
    <w:p>
      <w:pPr>
        <w:spacing w:after="0" w:line="189"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The members of the internal Conflict Minerals teams collaborate as and when necessary to assess the progress of PepsiCo’s compliance program and provide updates for relevant senior management with respect to the due diligence process and filing of Form SD and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OECD Step 4:</w:t>
      </w:r>
      <w:r>
        <w:rPr>
          <w:rFonts w:ascii="Times New Roman" w:cs="Times New Roman" w:eastAsia="Times New Roman" w:hAnsi="Times New Roman"/>
          <w:sz w:val="18"/>
          <w:szCs w:val="18"/>
          <w:b w:val="1"/>
          <w:bCs w:val="1"/>
          <w:color w:val="auto"/>
        </w:rPr>
        <w:t xml:space="preserve"> Carry out independent third-party audit of smelter/refiner’s due diligence practices</w:t>
      </w:r>
    </w:p>
    <w:p>
      <w:pPr>
        <w:spacing w:after="0" w:line="189"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Due to PepsiCo’s downstream position in the supply chain, it does not have a direct relationship with smelters and refiners, nor does it perform direct audits of the smelters and refiners that provide SodaStream’s supply chain with the Conflict Minerals contained in the Covered Products. PepsiCo relies upon industry efforts to influence smelters and refiners to undergo audits and become certified through the RMAP.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OECD Step 5:</w:t>
      </w:r>
      <w:r>
        <w:rPr>
          <w:rFonts w:ascii="Times New Roman" w:cs="Times New Roman" w:eastAsia="Times New Roman" w:hAnsi="Times New Roman"/>
          <w:sz w:val="18"/>
          <w:szCs w:val="18"/>
          <w:b w:val="1"/>
          <w:bCs w:val="1"/>
          <w:color w:val="auto"/>
        </w:rPr>
        <w:t xml:space="preserve"> Report on supply chain due diligence</w:t>
      </w:r>
    </w:p>
    <w:p>
      <w:pPr>
        <w:spacing w:after="0" w:line="189"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This Report and the accompanying Form SD are publicly filed by PepsiCo with the U.S. Securities and Exchange Commission and available on PepsiCo’s website. Information on PepsiCo’s website is not and should not be considered part of, nor is it incorporated by reference into, this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RESULTS OF OUR DUE DILIGENCE MEASURES</w:t>
      </w:r>
    </w:p>
    <w:p>
      <w:pPr>
        <w:spacing w:after="0" w:line="229"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 xml:space="preserve">Responses were received from all in-scope suppliers for calendar year 2025. Based on the information provided by those in-scope suppliers, PepsiCo believes that the facilities that were used to process the Conflict Minerals contained in the Covered Products included the smelters and refiners listed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attached to this Report.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However, due to the challenges of tracing sources of Conflict Minerals in a multi-tier supply chain and because many suppliers continue to provide us with company-level information and not product specific information (meaning that they reported the smelters and refiners that processed Conflict Minerals in all of their products, rather than solely those that processed Conflict Minerals for specific products sold to SodaStream), PepsiCo cannot be certain that these smelters and refiners were in fact in SodaStream’s supply chain. Further, some suppliers were unable to identify all the smelters and refiners in their supply chains and therefore PepsiCo also cannot be certain that other non-identified smelters or refiners were not in SodaStream’s supply chain.</w:t>
      </w:r>
    </w:p>
    <w:p>
      <w:pPr>
        <w:spacing w:after="0" w:line="83"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8"/>
          <w:szCs w:val="18"/>
          <w:color w:val="auto"/>
        </w:rPr>
        <w:t>The identified smelters and refineries are located in Belgium, Bolivia, China, Indonesia, Japan, Malaysia, Peru, Poland, Republic of Korea, Switzerland, Taiwan and Thailand. PepsiCo compared the list of smelters and refiners to the RMAP “conformant” smelter and refiner lists and confirmed that all but one of the known smelters and refiners for calendar year 2025, including those that were reported by SodaStream’s in-scope suppliers as sourcing from a Covered Country, appear on the RMAP “conformant” list. The remaining smelter was identified on the RMAP “eligible” list and the relevant supplier reported that this smelter does not source from a Covered Country. In addition, because the RMI generally does not indicate individual countries of origin of the Conflict Minerals processed by smelters and refiners, PepsiCo was not able to determine the countries of origin of the Conflict Minerals processed by the listed smelters and refiners with greater specificity.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FUTURE RISK MITIGATION EFFORTS</w:t>
      </w:r>
    </w:p>
    <w:p>
      <w:pPr>
        <w:spacing w:after="0" w:line="189" w:lineRule="exact"/>
        <w:rPr>
          <w:sz w:val="20"/>
          <w:szCs w:val="20"/>
          <w:color w:val="auto"/>
        </w:rPr>
      </w:pPr>
    </w:p>
    <w:p>
      <w:pPr>
        <w:jc w:val="both"/>
        <w:spacing w:after="0" w:line="349" w:lineRule="auto"/>
        <w:rPr>
          <w:sz w:val="20"/>
          <w:szCs w:val="20"/>
          <w:color w:val="auto"/>
        </w:rPr>
      </w:pPr>
      <w:r>
        <w:rPr>
          <w:rFonts w:ascii="Times New Roman" w:cs="Times New Roman" w:eastAsia="Times New Roman" w:hAnsi="Times New Roman"/>
          <w:sz w:val="18"/>
          <w:szCs w:val="18"/>
          <w:color w:val="auto"/>
        </w:rPr>
        <w:t>PepsiCo continually takes steps to improve its due diligence processes. Due diligence is an ongoing, proactive and reactive process. PepsiCo plans to continue to inform in-scope suppliers about their role in PepsiCo’s conflict minerals compliance program and continue to engage with in-scope suppliers to obtain current, accurate and complete information about its supply chain. In addition, we will continue working with these suppliers to obtain product level data specific to the Covered Products and continue to encourage suppliers to source from RMAP “conformant” smelters and refiners.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Statements in this Report that are “forward-looking statements” are based on currently available information, operating plans and projections about future events and trends. Forward-looking statements inherently involve risks and uncertainties. For information on certain factors that could cause actual events or results to differ materially from our expectations, please see PepsiCo’s filings with the Securities and Exchange Commission, including its most recent annual report on Form 10-K and subsequent reports on Forms 10-Q and 8-K. Investors are cautioned not to place undue reliance on any such forward-looking statements, which speak only as of the date they are made. PepsiCo undertakes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CURRENTLY KNOWN SMELTER AND REFINER LIST</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80" w:type="dxa"/>
            <w:vAlign w:val="bottom"/>
            <w:tcBorders>
              <w:top w:val="single" w:sz="8" w:color="auto"/>
              <w:left w:val="single" w:sz="8" w:color="00000A"/>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METAL</w:t>
            </w:r>
          </w:p>
        </w:tc>
        <w:tc>
          <w:tcPr>
            <w:tcW w:w="320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SMELTER / REFINER NAME</w:t>
            </w:r>
          </w:p>
        </w:tc>
        <w:tc>
          <w:tcPr>
            <w:tcW w:w="258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SMELTER / REFINER</w:t>
            </w:r>
          </w:p>
        </w:tc>
        <w:tc>
          <w:tcPr>
            <w:tcW w:w="248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SMELTER / REFINER</w:t>
            </w:r>
          </w:p>
        </w:tc>
        <w:tc>
          <w:tcPr>
            <w:tcW w:w="1720" w:type="dxa"/>
            <w:vAlign w:val="bottom"/>
            <w:tcBorders>
              <w:top w:val="single" w:sz="8" w:color="auto"/>
              <w:right w:val="single" w:sz="8" w:color="00000A"/>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RMAP SMELTER /</w:t>
            </w:r>
          </w:p>
        </w:tc>
        <w:tc>
          <w:tcPr>
            <w:tcW w:w="0" w:type="dxa"/>
            <w:vAlign w:val="bottom"/>
          </w:tcPr>
          <w:p>
            <w:pPr>
              <w:spacing w:after="0"/>
              <w:rPr>
                <w:sz w:val="1"/>
                <w:szCs w:val="1"/>
                <w:color w:val="auto"/>
              </w:rPr>
            </w:pPr>
          </w:p>
        </w:tc>
      </w:tr>
      <w:tr>
        <w:trPr>
          <w:trHeight w:val="241"/>
        </w:trPr>
        <w:tc>
          <w:tcPr>
            <w:tcW w:w="1280" w:type="dxa"/>
            <w:vAlign w:val="bottom"/>
            <w:tcBorders>
              <w:left w:val="single" w:sz="8" w:color="00000A"/>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IDENTIFICATION</w:t>
            </w:r>
          </w:p>
        </w:tc>
        <w:tc>
          <w:tcPr>
            <w:tcW w:w="1720" w:type="dxa"/>
            <w:vAlign w:val="bottom"/>
            <w:tcBorders>
              <w:bottom w:val="single" w:sz="8" w:color="auto"/>
              <w:right w:val="single" w:sz="8" w:color="00000A"/>
            </w:tcBorders>
          </w:tcPr>
          <w:p>
            <w:pPr>
              <w:spacing w:after="0"/>
              <w:rPr>
                <w:sz w:val="20"/>
                <w:szCs w:val="20"/>
                <w:color w:val="auto"/>
              </w:rPr>
            </w:pPr>
            <w:r>
              <w:rPr>
                <w:rFonts w:ascii="Times New Roman" w:cs="Times New Roman" w:eastAsia="Times New Roman" w:hAnsi="Times New Roman"/>
                <w:sz w:val="18"/>
                <w:szCs w:val="18"/>
                <w:b w:val="1"/>
                <w:bCs w:val="1"/>
                <w:color w:val="auto"/>
              </w:rPr>
              <w:t>REFINER STATUS</w:t>
            </w:r>
          </w:p>
        </w:tc>
        <w:tc>
          <w:tcPr>
            <w:tcW w:w="0" w:type="dxa"/>
            <w:vAlign w:val="bottom"/>
          </w:tcPr>
          <w:p>
            <w:pPr>
              <w:spacing w:after="0"/>
              <w:rPr>
                <w:sz w:val="1"/>
                <w:szCs w:val="1"/>
                <w:color w:val="auto"/>
              </w:rPr>
            </w:pPr>
          </w:p>
        </w:tc>
      </w:tr>
      <w:tr>
        <w:trPr>
          <w:trHeight w:val="171"/>
        </w:trPr>
        <w:tc>
          <w:tcPr>
            <w:tcW w:w="128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right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Gejiu Non-Ferrous Metal Processing Co.,</w:t>
            </w:r>
          </w:p>
        </w:tc>
        <w:tc>
          <w:tcPr>
            <w:tcW w:w="2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CID000538</w:t>
            </w:r>
          </w:p>
        </w:tc>
        <w:tc>
          <w:tcPr>
            <w:tcW w:w="1720" w:type="dxa"/>
            <w:vAlign w:val="bottom"/>
            <w:tcBorders>
              <w:right w:val="single" w:sz="8" w:color="00000A"/>
            </w:tcBorders>
            <w:vMerge w:val="restart"/>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48"/>
        </w:trPr>
        <w:tc>
          <w:tcPr>
            <w:tcW w:w="1280" w:type="dxa"/>
            <w:vAlign w:val="bottom"/>
            <w:tcBorders>
              <w:left w:val="single" w:sz="8" w:color="00000A"/>
              <w:right w:val="single" w:sz="8" w:color="auto"/>
            </w:tcBorders>
            <w:vMerge w:val="continue"/>
          </w:tcPr>
          <w:p>
            <w:pPr>
              <w:spacing w:after="0"/>
              <w:rPr>
                <w:sz w:val="12"/>
                <w:szCs w:val="12"/>
                <w:color w:val="auto"/>
              </w:rPr>
            </w:pPr>
          </w:p>
        </w:tc>
        <w:tc>
          <w:tcPr>
            <w:tcW w:w="3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2580" w:type="dxa"/>
            <w:vAlign w:val="bottom"/>
            <w:tcBorders>
              <w:right w:val="single" w:sz="8" w:color="auto"/>
            </w:tcBorders>
            <w:vMerge w:val="continue"/>
          </w:tcPr>
          <w:p>
            <w:pPr>
              <w:spacing w:after="0"/>
              <w:rPr>
                <w:sz w:val="12"/>
                <w:szCs w:val="12"/>
                <w:color w:val="auto"/>
              </w:rPr>
            </w:pPr>
          </w:p>
        </w:tc>
        <w:tc>
          <w:tcPr>
            <w:tcW w:w="248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00000A"/>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vMerge w:val="continue"/>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CID001231</w:t>
            </w:r>
          </w:p>
        </w:tc>
        <w:tc>
          <w:tcPr>
            <w:tcW w:w="1720" w:type="dxa"/>
            <w:vAlign w:val="bottom"/>
            <w:tcBorders>
              <w:bottom w:val="single" w:sz="8" w:color="auto"/>
              <w:right w:val="single" w:sz="8" w:color="00000A"/>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69"/>
        </w:trPr>
        <w:tc>
          <w:tcPr>
            <w:tcW w:w="128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Malaysia Smelting Corporation Berhad</w:t>
            </w:r>
          </w:p>
        </w:tc>
        <w:tc>
          <w:tcPr>
            <w:tcW w:w="2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CID004434</w:t>
            </w:r>
          </w:p>
        </w:tc>
        <w:tc>
          <w:tcPr>
            <w:tcW w:w="1720" w:type="dxa"/>
            <w:vAlign w:val="bottom"/>
            <w:tcBorders>
              <w:right w:val="single" w:sz="8" w:color="00000A"/>
            </w:tcBorders>
            <w:vMerge w:val="restart"/>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48"/>
        </w:trPr>
        <w:tc>
          <w:tcPr>
            <w:tcW w:w="1280" w:type="dxa"/>
            <w:vAlign w:val="bottom"/>
            <w:tcBorders>
              <w:left w:val="single" w:sz="8" w:color="00000A"/>
              <w:right w:val="single" w:sz="8" w:color="auto"/>
            </w:tcBorders>
            <w:vMerge w:val="continue"/>
          </w:tcPr>
          <w:p>
            <w:pPr>
              <w:spacing w:after="0"/>
              <w:rPr>
                <w:sz w:val="12"/>
                <w:szCs w:val="12"/>
                <w:color w:val="auto"/>
              </w:rPr>
            </w:pPr>
          </w:p>
        </w:tc>
        <w:tc>
          <w:tcPr>
            <w:tcW w:w="3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(Port Klang)</w:t>
            </w:r>
          </w:p>
        </w:tc>
        <w:tc>
          <w:tcPr>
            <w:tcW w:w="2580" w:type="dxa"/>
            <w:vAlign w:val="bottom"/>
            <w:tcBorders>
              <w:right w:val="single" w:sz="8" w:color="auto"/>
            </w:tcBorders>
            <w:vMerge w:val="continue"/>
          </w:tcPr>
          <w:p>
            <w:pPr>
              <w:spacing w:after="0"/>
              <w:rPr>
                <w:sz w:val="12"/>
                <w:szCs w:val="12"/>
                <w:color w:val="auto"/>
              </w:rPr>
            </w:pPr>
          </w:p>
        </w:tc>
        <w:tc>
          <w:tcPr>
            <w:tcW w:w="248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00000A"/>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vMerge w:val="continue"/>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CID001482</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CID001898</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69"/>
        </w:trPr>
        <w:tc>
          <w:tcPr>
            <w:tcW w:w="128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Tin Smelting Branch of Yunnan Tin Co.,</w:t>
            </w:r>
          </w:p>
        </w:tc>
        <w:tc>
          <w:tcPr>
            <w:tcW w:w="2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CID002180</w:t>
            </w: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49"/>
        </w:trPr>
        <w:tc>
          <w:tcPr>
            <w:tcW w:w="1280" w:type="dxa"/>
            <w:vAlign w:val="bottom"/>
            <w:tcBorders>
              <w:left w:val="single" w:sz="8" w:color="00000A"/>
              <w:right w:val="single" w:sz="8" w:color="auto"/>
            </w:tcBorders>
            <w:vMerge w:val="continue"/>
          </w:tcPr>
          <w:p>
            <w:pPr>
              <w:spacing w:after="0"/>
              <w:rPr>
                <w:sz w:val="12"/>
                <w:szCs w:val="12"/>
                <w:color w:val="auto"/>
              </w:rPr>
            </w:pPr>
          </w:p>
        </w:tc>
        <w:tc>
          <w:tcPr>
            <w:tcW w:w="3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2580" w:type="dxa"/>
            <w:vAlign w:val="bottom"/>
            <w:tcBorders>
              <w:right w:val="single" w:sz="8" w:color="auto"/>
            </w:tcBorders>
            <w:vMerge w:val="continue"/>
          </w:tcPr>
          <w:p>
            <w:pPr>
              <w:spacing w:after="0"/>
              <w:rPr>
                <w:sz w:val="12"/>
                <w:szCs w:val="12"/>
                <w:color w:val="auto"/>
              </w:rPr>
            </w:pPr>
          </w:p>
        </w:tc>
        <w:tc>
          <w:tcPr>
            <w:tcW w:w="248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00000A"/>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vMerge w:val="continue"/>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28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Yunnan Chengfeng Non-ferrous Metals</w:t>
            </w:r>
          </w:p>
        </w:tc>
        <w:tc>
          <w:tcPr>
            <w:tcW w:w="2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CID002158</w:t>
            </w: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Eligible</w:t>
            </w:r>
          </w:p>
        </w:tc>
        <w:tc>
          <w:tcPr>
            <w:tcW w:w="0" w:type="dxa"/>
            <w:vAlign w:val="bottom"/>
          </w:tcPr>
          <w:p>
            <w:pPr>
              <w:spacing w:after="0"/>
              <w:rPr>
                <w:sz w:val="1"/>
                <w:szCs w:val="1"/>
                <w:color w:val="auto"/>
              </w:rPr>
            </w:pPr>
          </w:p>
        </w:tc>
      </w:tr>
      <w:tr>
        <w:trPr>
          <w:trHeight w:val="148"/>
        </w:trPr>
        <w:tc>
          <w:tcPr>
            <w:tcW w:w="1280" w:type="dxa"/>
            <w:vAlign w:val="bottom"/>
            <w:tcBorders>
              <w:left w:val="single" w:sz="8" w:color="00000A"/>
              <w:right w:val="single" w:sz="8" w:color="auto"/>
            </w:tcBorders>
            <w:vMerge w:val="continue"/>
          </w:tcPr>
          <w:p>
            <w:pPr>
              <w:spacing w:after="0"/>
              <w:rPr>
                <w:sz w:val="12"/>
                <w:szCs w:val="12"/>
                <w:color w:val="auto"/>
              </w:rPr>
            </w:pPr>
          </w:p>
        </w:tc>
        <w:tc>
          <w:tcPr>
            <w:tcW w:w="3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2580" w:type="dxa"/>
            <w:vAlign w:val="bottom"/>
            <w:tcBorders>
              <w:right w:val="single" w:sz="8" w:color="auto"/>
            </w:tcBorders>
            <w:vMerge w:val="continue"/>
          </w:tcPr>
          <w:p>
            <w:pPr>
              <w:spacing w:after="0"/>
              <w:rPr>
                <w:sz w:val="12"/>
                <w:szCs w:val="12"/>
                <w:color w:val="auto"/>
              </w:rPr>
            </w:pPr>
          </w:p>
        </w:tc>
        <w:tc>
          <w:tcPr>
            <w:tcW w:w="248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00000A"/>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vMerge w:val="continue"/>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CID001070</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69"/>
        </w:trPr>
        <w:tc>
          <w:tcPr>
            <w:tcW w:w="128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Guangdong Hanhe Non-ferrous Metal</w:t>
            </w:r>
          </w:p>
        </w:tc>
        <w:tc>
          <w:tcPr>
            <w:tcW w:w="25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CID003116</w:t>
            </w: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48"/>
        </w:trPr>
        <w:tc>
          <w:tcPr>
            <w:tcW w:w="1280" w:type="dxa"/>
            <w:vAlign w:val="bottom"/>
            <w:tcBorders>
              <w:left w:val="single" w:sz="8" w:color="00000A"/>
              <w:right w:val="single" w:sz="8" w:color="auto"/>
            </w:tcBorders>
            <w:vMerge w:val="continue"/>
          </w:tcPr>
          <w:p>
            <w:pPr>
              <w:spacing w:after="0"/>
              <w:rPr>
                <w:sz w:val="12"/>
                <w:szCs w:val="12"/>
                <w:color w:val="auto"/>
              </w:rPr>
            </w:pPr>
          </w:p>
        </w:tc>
        <w:tc>
          <w:tcPr>
            <w:tcW w:w="3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Limited Company</w:t>
            </w:r>
          </w:p>
        </w:tc>
        <w:tc>
          <w:tcPr>
            <w:tcW w:w="2580" w:type="dxa"/>
            <w:vAlign w:val="bottom"/>
            <w:tcBorders>
              <w:right w:val="single" w:sz="8" w:color="auto"/>
            </w:tcBorders>
            <w:vMerge w:val="continue"/>
          </w:tcPr>
          <w:p>
            <w:pPr>
              <w:spacing w:after="0"/>
              <w:rPr>
                <w:sz w:val="12"/>
                <w:szCs w:val="12"/>
                <w:color w:val="auto"/>
              </w:rPr>
            </w:pPr>
          </w:p>
        </w:tc>
        <w:tc>
          <w:tcPr>
            <w:tcW w:w="248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00000A"/>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vMerge w:val="continue"/>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Beerse</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CID002773</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Empresa Metallurgica Vinto</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CID000438</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CID000468</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CID001182</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CID002503</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Prima Tin</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CID002776</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Prime Timah Utama</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CID001458</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CID000077</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CID000401</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CID000707</w:t>
            </w:r>
          </w:p>
        </w:tc>
        <w:tc>
          <w:tcPr>
            <w:tcW w:w="1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60"/>
          </w:cols>
          <w:pgMar w:left="320" w:top="1440" w:right="319" w:bottom="1440" w:gutter="0" w:footer="0" w:header="0"/>
        </w:sectPr>
      </w:pPr>
    </w:p>
    <w:bookmarkStart w:id="8" w:name="page9"/>
    <w:bookmarkEnd w:id="8"/>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280" w:type="dxa"/>
            <w:vAlign w:val="bottom"/>
            <w:tcBorders>
              <w:top w:val="single" w:sz="8" w:color="auto"/>
              <w:left w:val="single" w:sz="8" w:color="00000A"/>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METAL</w:t>
            </w:r>
          </w:p>
        </w:tc>
        <w:tc>
          <w:tcPr>
            <w:tcW w:w="320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SMELTER / REFINER NAME</w:t>
            </w:r>
          </w:p>
        </w:tc>
        <w:tc>
          <w:tcPr>
            <w:tcW w:w="258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SMELTER / REFINER</w:t>
            </w:r>
          </w:p>
        </w:tc>
        <w:tc>
          <w:tcPr>
            <w:tcW w:w="2480" w:type="dxa"/>
            <w:vAlign w:val="bottom"/>
            <w:tcBorders>
              <w:top w:val="single" w:sz="8" w:color="auto"/>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SMELTER / REFINER</w:t>
            </w:r>
          </w:p>
        </w:tc>
        <w:tc>
          <w:tcPr>
            <w:tcW w:w="1740" w:type="dxa"/>
            <w:vAlign w:val="bottom"/>
            <w:tcBorders>
              <w:top w:val="single" w:sz="8" w:color="auto"/>
              <w:right w:val="single" w:sz="8" w:color="00000A"/>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RMAP SMELTER /</w:t>
            </w:r>
          </w:p>
        </w:tc>
      </w:tr>
      <w:tr>
        <w:trPr>
          <w:trHeight w:val="238"/>
        </w:trPr>
        <w:tc>
          <w:tcPr>
            <w:tcW w:w="1280" w:type="dxa"/>
            <w:vAlign w:val="bottom"/>
            <w:tcBorders>
              <w:left w:val="single" w:sz="8" w:color="00000A"/>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IDENTIFICATION</w:t>
            </w:r>
          </w:p>
        </w:tc>
        <w:tc>
          <w:tcPr>
            <w:tcW w:w="1740" w:type="dxa"/>
            <w:vAlign w:val="bottom"/>
            <w:tcBorders>
              <w:bottom w:val="single" w:sz="8" w:color="auto"/>
              <w:right w:val="single" w:sz="8" w:color="00000A"/>
            </w:tcBorders>
          </w:tcPr>
          <w:p>
            <w:pPr>
              <w:spacing w:after="0"/>
              <w:rPr>
                <w:sz w:val="20"/>
                <w:szCs w:val="20"/>
                <w:color w:val="auto"/>
              </w:rPr>
            </w:pPr>
            <w:r>
              <w:rPr>
                <w:rFonts w:ascii="Times New Roman" w:cs="Times New Roman" w:eastAsia="Times New Roman" w:hAnsi="Times New Roman"/>
                <w:sz w:val="18"/>
                <w:szCs w:val="18"/>
                <w:b w:val="1"/>
                <w:bCs w:val="1"/>
                <w:color w:val="auto"/>
              </w:rPr>
              <w:t>REFINER STATUS</w:t>
            </w: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MnM Inc.</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REPUBLIC OF KOREA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CID001078</w:t>
            </w:r>
          </w:p>
        </w:tc>
        <w:tc>
          <w:tcPr>
            <w:tcW w:w="1740" w:type="dxa"/>
            <w:vAlign w:val="bottom"/>
            <w:tcBorders>
              <w:bottom w:val="single" w:sz="8" w:color="auto"/>
              <w:right w:val="single" w:sz="8" w:color="00000A"/>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CID001149</w:t>
            </w:r>
          </w:p>
        </w:tc>
        <w:tc>
          <w:tcPr>
            <w:tcW w:w="1740" w:type="dxa"/>
            <w:vAlign w:val="bottom"/>
            <w:tcBorders>
              <w:bottom w:val="single" w:sz="8" w:color="auto"/>
              <w:right w:val="single" w:sz="8" w:color="00000A"/>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CID001916</w:t>
            </w:r>
          </w:p>
        </w:tc>
        <w:tc>
          <w:tcPr>
            <w:tcW w:w="1740" w:type="dxa"/>
            <w:vAlign w:val="bottom"/>
            <w:tcBorders>
              <w:bottom w:val="single" w:sz="8" w:color="auto"/>
              <w:right w:val="single" w:sz="8" w:color="00000A"/>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63"/>
        </w:trPr>
        <w:tc>
          <w:tcPr>
            <w:tcW w:w="128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Zhaojin Gold &amp; Silver Refinery</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CID001622</w:t>
            </w:r>
          </w:p>
        </w:tc>
        <w:tc>
          <w:tcPr>
            <w:tcW w:w="17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148"/>
        </w:trPr>
        <w:tc>
          <w:tcPr>
            <w:tcW w:w="1280" w:type="dxa"/>
            <w:vAlign w:val="bottom"/>
            <w:tcBorders>
              <w:left w:val="single" w:sz="8" w:color="00000A"/>
              <w:bottom w:val="single" w:sz="8" w:color="auto"/>
              <w:right w:val="single" w:sz="8" w:color="auto"/>
            </w:tcBorders>
          </w:tcPr>
          <w:p>
            <w:pPr>
              <w:spacing w:after="0"/>
              <w:rPr>
                <w:sz w:val="12"/>
                <w:szCs w:val="12"/>
                <w:color w:val="auto"/>
              </w:rPr>
            </w:pPr>
          </w:p>
        </w:tc>
        <w:tc>
          <w:tcPr>
            <w:tcW w:w="3200" w:type="dxa"/>
            <w:vAlign w:val="bottom"/>
            <w:tcBorders>
              <w:bottom w:val="single" w:sz="8" w:color="auto"/>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7"/>
                <w:szCs w:val="17"/>
                <w:color w:val="auto"/>
              </w:rPr>
              <w:t>Co., Ltd.</w:t>
            </w:r>
          </w:p>
        </w:tc>
        <w:tc>
          <w:tcPr>
            <w:tcW w:w="2580" w:type="dxa"/>
            <w:vAlign w:val="bottom"/>
            <w:tcBorders>
              <w:bottom w:val="single" w:sz="8" w:color="auto"/>
              <w:right w:val="single" w:sz="8" w:color="auto"/>
            </w:tcBorders>
          </w:tcPr>
          <w:p>
            <w:pPr>
              <w:spacing w:after="0"/>
              <w:rPr>
                <w:sz w:val="12"/>
                <w:szCs w:val="12"/>
                <w:color w:val="auto"/>
              </w:rPr>
            </w:pPr>
          </w:p>
        </w:tc>
        <w:tc>
          <w:tcPr>
            <w:tcW w:w="2480" w:type="dxa"/>
            <w:vAlign w:val="bottom"/>
            <w:tcBorders>
              <w:bottom w:val="single" w:sz="8" w:color="auto"/>
              <w:right w:val="single" w:sz="8" w:color="auto"/>
            </w:tcBorders>
          </w:tcPr>
          <w:p>
            <w:pPr>
              <w:spacing w:after="0"/>
              <w:rPr>
                <w:sz w:val="12"/>
                <w:szCs w:val="12"/>
                <w:color w:val="auto"/>
              </w:rPr>
            </w:pPr>
          </w:p>
        </w:tc>
        <w:tc>
          <w:tcPr>
            <w:tcW w:w="1740" w:type="dxa"/>
            <w:vAlign w:val="bottom"/>
            <w:tcBorders>
              <w:bottom w:val="single" w:sz="8" w:color="auto"/>
              <w:right w:val="single" w:sz="8" w:color="00000A"/>
            </w:tcBorders>
          </w:tcPr>
          <w:p>
            <w:pPr>
              <w:spacing w:after="0"/>
              <w:rPr>
                <w:sz w:val="12"/>
                <w:szCs w:val="12"/>
                <w:color w:val="auto"/>
              </w:rPr>
            </w:pPr>
          </w:p>
        </w:tc>
      </w:tr>
      <w:tr>
        <w:trPr>
          <w:trHeight w:val="223"/>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CID001761</w:t>
            </w:r>
          </w:p>
        </w:tc>
        <w:tc>
          <w:tcPr>
            <w:tcW w:w="1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CID001875</w:t>
            </w:r>
          </w:p>
        </w:tc>
        <w:tc>
          <w:tcPr>
            <w:tcW w:w="1740" w:type="dxa"/>
            <w:vAlign w:val="bottom"/>
            <w:tcBorders>
              <w:bottom w:val="single" w:sz="8" w:color="auto"/>
              <w:right w:val="single" w:sz="8" w:color="00000A"/>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23"/>
        </w:trPr>
        <w:tc>
          <w:tcPr>
            <w:tcW w:w="1280" w:type="dxa"/>
            <w:vAlign w:val="bottom"/>
            <w:tcBorders>
              <w:left w:val="single" w:sz="8" w:color="00000A"/>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 Ltd.</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CID000855</w:t>
            </w:r>
          </w:p>
        </w:tc>
        <w:tc>
          <w:tcPr>
            <w:tcW w:w="1740" w:type="dxa"/>
            <w:vAlign w:val="bottom"/>
            <w:tcBorders>
              <w:bottom w:val="single" w:sz="8" w:color="auto"/>
              <w:right w:val="single" w:sz="8" w:color="00000A"/>
            </w:tcBorders>
          </w:tcPr>
          <w:p>
            <w:pPr>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2026-05-29T17:50:37Z</dcterms:created>
  <dcterms:modified xsi:type="dcterms:W3CDTF">2026-05-29T17:50:37Z</dcterms:modified>
</cp:coreProperties>
</file>