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color w:val="000000"/>
          <w:sz w:val="20"/>
        </w:rPr>
        <w:t>October 8, 2026</w:t>
      </w:r>
      <w:r>
        <w:rPr>
          <w:color w:val="000000"/>
        </w:rPr>
        <w:t xml:space="preserve">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PepsiCo,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271"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353"/>
        <w:gridCol w:w="353"/>
        <w:gridCol w:w="358"/>
        <w:gridCol w:w="109"/>
        <w:gridCol w:w="109"/>
        <w:gridCol w:w="109"/>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13-1584302</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700 Anderson Hill Road, Purchase, New York 10577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(914) 253-2000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Securities registered pursuant to Section 12(b) of the Securities Exchange Act of 1934:</w:t>
      </w:r>
      <w:r>
        <w:rPr>
          <w:color w:val="000000"/>
        </w:rPr>
        <w:t xml:space="preserve"> </w:t>
      </w:r>
    </w:p>
    <w:tbl>
      <w:tblPr>
        <w:tblW w:w="9983" w:type="dxa"/>
        <w:jc w:val="center"/>
        <w:tblInd w:w="0" w:type="dxa"/>
        <w:tblLayout w:type="fixed"/>
        <w:tblCellMar>
          <w:top w:w="28" w:type="dxa"/>
          <w:left w:w="28" w:type="dxa"/>
          <w:bottom w:w="28" w:type="dxa"/>
          <w:right w:w="28" w:type="dxa"/>
        </w:tblCellMar>
      </w:tblPr>
      <w:tblGrid>
        <w:gridCol w:w="1420"/>
        <w:gridCol w:w="1248"/>
        <w:gridCol w:w="1262"/>
        <w:gridCol w:w="109"/>
        <w:gridCol w:w="109"/>
        <w:gridCol w:w="109"/>
        <w:gridCol w:w="524"/>
        <w:gridCol w:w="524"/>
        <w:gridCol w:w="526"/>
        <w:gridCol w:w="109"/>
        <w:gridCol w:w="109"/>
        <w:gridCol w:w="109"/>
        <w:gridCol w:w="1118"/>
        <w:gridCol w:w="1118"/>
        <w:gridCol w:w="1589"/>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1-2/3 cents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0.500%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Floating Rate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3.200%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Senior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3.450% Senior Notes Due 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3.700% Senior Notes Due 2038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0.875% Senior Notes Due 2039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4.150% Senior Notes Due 2047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 Senior Notes Due 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4.050% Senior Notes Due 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is being furnished and shall not be deemed “filed” for the purposes of Section 18 of the Securities Exchange Act of 1934, as amended (the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Attached as Exhibit 99.1 and incorporated by reference into this Item 2.02 is a copy of the press release issued by PepsiCo, Inc. (“PepsiCo”), dated October 8, 2026, reporting PepsiCo’s financial results for the 12 and 36 weeks ended September 5, 2026.</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(d) Exhibits</w:t>
      </w:r>
    </w:p>
    <w:tbl>
      <w:tblPr>
        <w:tblW w:w="809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64"/>
        <w:gridCol w:w="1964"/>
        <w:gridCol w:w="277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320268-kxexhibit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320268-kxexhibit991.htm">
              <w:r>
                <w:rPr>
                  <w:rStyle w:val="InternetLink"/>
                  <w:rFonts w:ascii="Times New Roman;serif" w:hAnsi="Times New Roman;serif"/>
                  <w:b w:val="false"/>
                  <w:color w:val="000080"/>
                  <w:sz w:val="20"/>
                  <w:u w:val="single"/>
                </w:rPr>
                <w:t xml:space="preserve">Press Release issued by PepsiCo, Inc., dated </w:t>
              </w:r>
            </w:hyperlink>
            <w:hyperlink w:anchor="q320268-kxexhibit991.htm">
              <w:r>
                <w:rPr>
                  <w:rStyle w:val="InternetLink"/>
                  <w:rFonts w:ascii="Times New Roman;serif" w:hAnsi="Times New Roman;serif"/>
                  <w:b w:val="false"/>
                  <w:color w:val="000080"/>
                  <w:sz w:val="20"/>
                  <w:u w:val="single"/>
                </w:rPr>
                <w:t>October</w:t>
              </w:r>
            </w:hyperlink>
            <w:hyperlink w:anchor="q320268-kxexhibit991.htm">
              <w:r>
                <w:rPr>
                  <w:rStyle w:val="InternetLink"/>
                  <w:rFonts w:ascii="Times New Roman;serif" w:hAnsi="Times New Roman;serif"/>
                  <w:b w:val="false"/>
                  <w:color w:val="000080"/>
                  <w:sz w:val="20"/>
                  <w:u w:val="single"/>
                </w:rPr>
                <w:t xml:space="preserve"> </w:t>
              </w:r>
            </w:hyperlink>
            <w:hyperlink w:anchor="q320268-kxexhibit991.htm">
              <w:r>
                <w:rPr>
                  <w:rStyle w:val="InternetLink"/>
                  <w:rFonts w:ascii="Times New Roman;serif" w:hAnsi="Times New Roman;serif"/>
                  <w:b w:val="false"/>
                  <w:color w:val="000080"/>
                  <w:sz w:val="20"/>
                  <w:u w:val="single"/>
                </w:rPr>
                <w:t>8</w:t>
              </w:r>
            </w:hyperlink>
            <w:hyperlink w:anchor="q320268-kxexhibit991.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274" w:type="dxa"/>
        <w:jc w:val="left"/>
        <w:tblInd w:w="0" w:type="dxa"/>
        <w:tblLayout w:type="fixed"/>
        <w:tblCellMar>
          <w:top w:w="28" w:type="dxa"/>
          <w:left w:w="28" w:type="dxa"/>
          <w:bottom w:w="28" w:type="dxa"/>
          <w:right w:w="28" w:type="dxa"/>
        </w:tblCellMar>
      </w:tblPr>
      <w:tblGrid>
        <w:gridCol w:w="216"/>
        <w:gridCol w:w="191"/>
        <w:gridCol w:w="192"/>
        <w:gridCol w:w="469"/>
        <w:gridCol w:w="469"/>
        <w:gridCol w:w="471"/>
        <w:gridCol w:w="214"/>
        <w:gridCol w:w="214"/>
        <w:gridCol w:w="214"/>
        <w:gridCol w:w="1631"/>
        <w:gridCol w:w="1631"/>
        <w:gridCol w:w="2362"/>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PEPSICO,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7, 2026</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Flavell</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Flavell</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180"/>
        <w:jc w:val="center"/>
        <w:rPr/>
      </w:pPr>
      <w:r>
        <w:rPr/>
        <w:drawing>
          <wp:inline distT="0" distB="0" distL="0" distR="0">
            <wp:extent cx="2647950" cy="8382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647950" cy="838200"/>
                    </a:xfrm>
                    <a:prstGeom prst="rect">
                      <a:avLst/>
                    </a:prstGeom>
                  </pic:spPr>
                </pic:pic>
              </a:graphicData>
            </a:graphic>
          </wp:inline>
        </w:drawing>
      </w:r>
    </w:p>
    <w:p>
      <w:pPr>
        <w:pStyle w:val="TextBody"/>
        <w:bidi w:val="0"/>
        <w:spacing w:lineRule="auto" w:line="288" w:before="0" w:after="120"/>
        <w:ind w:left="0" w:right="0" w:firstLine="585"/>
        <w:jc w:val="center"/>
        <w:rPr>
          <w:rFonts w:ascii="Arial;sans-serif" w:hAnsi="Arial;sans-serif"/>
          <w:b/>
          <w:color w:val="000000"/>
          <w:sz w:val="28"/>
        </w:rPr>
      </w:pPr>
      <w:r>
        <w:rPr>
          <w:rFonts w:ascii="Arial;sans-serif" w:hAnsi="Arial;sans-serif"/>
          <w:b/>
          <w:color w:val="000000"/>
          <w:sz w:val="28"/>
        </w:rPr>
        <w:t>PepsiCo Reports Third-Quarter 2026 Results</w:t>
      </w:r>
    </w:p>
    <w:p>
      <w:pPr>
        <w:pStyle w:val="TextBody"/>
        <w:bidi w:val="0"/>
        <w:spacing w:lineRule="auto" w:line="288" w:before="120" w:after="60"/>
        <w:jc w:val="both"/>
        <w:rPr/>
      </w:pPr>
      <w:r>
        <w:rPr>
          <w:rFonts w:ascii="Arial;sans-serif" w:hAnsi="Arial;sans-serif"/>
          <w:b/>
          <w:color w:val="000000"/>
          <w:sz w:val="22"/>
        </w:rPr>
        <w:t>Third-Quarter and Year-to-Date Results</w:t>
      </w:r>
      <w:r>
        <w:rPr>
          <w:rFonts w:ascii="Arial;sans-serif" w:hAnsi="Arial;sans-serif"/>
          <w:b/>
          <w:color w:val="000000"/>
          <w:sz w:val="14"/>
        </w:rPr>
        <w:t>1</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2"/>
        </w:rPr>
        <w:t>Net revenue increased 5.6% and 6.7%, respectively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Organic revenue</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increased 3.1% and 2.7%, respectively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Earnings per share (EPS) increased 17% and 47%, respectively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Core</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EPS increased 2% and 5%, respectively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Core constant currency</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EPS increased 1.5% and 2%, respectively</w:t>
      </w:r>
    </w:p>
    <w:p>
      <w:pPr>
        <w:pStyle w:val="TextBody"/>
        <w:bidi w:val="0"/>
        <w:spacing w:lineRule="auto" w:line="288" w:before="120" w:after="60"/>
        <w:jc w:val="both"/>
        <w:rPr>
          <w:rFonts w:ascii="Arial;sans-serif" w:hAnsi="Arial;sans-serif"/>
          <w:b/>
          <w:color w:val="000000"/>
          <w:sz w:val="22"/>
        </w:rPr>
      </w:pPr>
      <w:r>
        <w:rPr>
          <w:rFonts w:ascii="Arial;sans-serif" w:hAnsi="Arial;sans-serif"/>
          <w:b/>
          <w:color w:val="000000"/>
          <w:sz w:val="22"/>
        </w:rPr>
        <w:t>Guidance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Company updates fiscal 2026 financial guidance</w:t>
      </w:r>
      <w:r>
        <w:rPr>
          <w:rFonts w:ascii="Arial;sans-serif" w:hAnsi="Arial;sans-serif"/>
          <w:b w:val="false"/>
          <w:color w:val="000000"/>
          <w:sz w:val="14"/>
        </w:rPr>
        <w:t>2</w:t>
      </w:r>
    </w:p>
    <w:p>
      <w:pPr>
        <w:pStyle w:val="TextBody"/>
        <w:bidi w:val="0"/>
        <w:spacing w:lineRule="auto" w:line="288" w:before="240" w:after="120"/>
        <w:jc w:val="both"/>
        <w:rPr/>
      </w:pPr>
      <w:r>
        <w:rPr>
          <w:rFonts w:ascii="Arial;sans-serif" w:hAnsi="Arial;sans-serif"/>
          <w:b/>
          <w:color w:val="000000"/>
          <w:sz w:val="22"/>
        </w:rPr>
        <w:t xml:space="preserve">PURCHASE, N.Y. - October 8, 2026 </w:t>
      </w:r>
      <w:r>
        <w:rPr>
          <w:rFonts w:ascii="Arial;sans-serif" w:hAnsi="Arial;sans-serif"/>
          <w:b w:val="false"/>
          <w:color w:val="000000"/>
          <w:sz w:val="22"/>
        </w:rPr>
        <w:t xml:space="preserve">- PepsiCo, Inc. (NASDAQ: PEP) today reported results for third-quarter 2026. </w:t>
      </w:r>
    </w:p>
    <w:p>
      <w:pPr>
        <w:pStyle w:val="TextBody"/>
        <w:bidi w:val="0"/>
        <w:spacing w:lineRule="auto" w:line="268" w:before="0" w:after="120"/>
        <w:jc w:val="both"/>
        <w:rPr>
          <w:color w:val="000000"/>
        </w:rPr>
      </w:pPr>
      <w:r>
        <w:rPr>
          <w:color w:val="000000"/>
        </w:rPr>
        <w:t>“</w:t>
      </w:r>
      <w:r>
        <w:rPr>
          <w:rFonts w:ascii="Arial;sans-serif" w:hAnsi="Arial;sans-serif"/>
          <w:b w:val="false"/>
          <w:color w:val="000000"/>
          <w:sz w:val="22"/>
        </w:rPr>
        <w:t>Our third-quarter results featured strong net revenue growth, an acceleration in organic revenue growth with organic volume growth across both global beverages and convenient foods. The results reflect the scale and resilience of the international business, the ongoing evolution of the global portfolio and an improved presence in underpenetrated channels and occasions,” said Chairman and CEO Ramon Laguarta.</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Laguarta continued, “Looking ahead, we remain focused on building upon the strength of the International business while acting with urgency to sustainably improve our performance in North America through more investments in innovation, effective brand building, and sharper marketplace execution by channel. Additional structural cost reduction actions are being identified and will be implemented in the coming months to help fund investments that aim to accelerate organic revenue growth and mitigate the impacts of rising input cost inflation.”</w:t>
      </w:r>
    </w:p>
    <w:tbl>
      <w:tblPr>
        <w:tblW w:w="9024" w:type="dxa"/>
        <w:jc w:val="center"/>
        <w:tblInd w:w="0" w:type="dxa"/>
        <w:tblLayout w:type="fixed"/>
        <w:tblCellMar>
          <w:top w:w="28" w:type="dxa"/>
          <w:left w:w="28" w:type="dxa"/>
          <w:bottom w:w="28" w:type="dxa"/>
          <w:right w:w="28" w:type="dxa"/>
        </w:tblCellMar>
      </w:tblPr>
      <w:tblGrid>
        <w:gridCol w:w="1101"/>
        <w:gridCol w:w="970"/>
        <w:gridCol w:w="973"/>
        <w:gridCol w:w="314"/>
        <w:gridCol w:w="314"/>
        <w:gridCol w:w="316"/>
        <w:gridCol w:w="314"/>
        <w:gridCol w:w="314"/>
        <w:gridCol w:w="316"/>
        <w:gridCol w:w="301"/>
        <w:gridCol w:w="301"/>
        <w:gridCol w:w="314"/>
        <w:gridCol w:w="109"/>
        <w:gridCol w:w="109"/>
        <w:gridCol w:w="109"/>
        <w:gridCol w:w="314"/>
        <w:gridCol w:w="314"/>
        <w:gridCol w:w="316"/>
        <w:gridCol w:w="314"/>
        <w:gridCol w:w="314"/>
        <w:gridCol w:w="316"/>
        <w:gridCol w:w="280"/>
        <w:gridCol w:w="280"/>
        <w:gridCol w:w="401"/>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Third-Quarter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Year-to-Date</w:t>
            </w:r>
          </w:p>
        </w:tc>
      </w:tr>
      <w:tr>
        <w:trPr/>
        <w:tc>
          <w:tcPr>
            <w:tcW w:w="3044" w:type="dxa"/>
            <w:gridSpan w:val="3"/>
            <w:tcBorders>
              <w:top w:val="single" w:sz="8" w:space="0" w:color="000000"/>
              <w:left w:val="single" w:sz="8" w:space="0" w:color="000000"/>
            </w:tcBorders>
            <w:shd w:fill="D3D3D3"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 in millions, except EPS)</w:t>
            </w:r>
          </w:p>
        </w:tc>
        <w:tc>
          <w:tcPr>
            <w:tcW w:w="944" w:type="dxa"/>
            <w:gridSpan w:val="3"/>
            <w:tcBorders>
              <w:top w:val="single" w:sz="8" w:space="0" w:color="000000"/>
              <w:left w:val="single" w:sz="8" w:space="0" w:color="000000"/>
            </w:tcBorders>
            <w:shd w:fill="D3D3D3"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Q3 2026</w:t>
            </w:r>
          </w:p>
        </w:tc>
        <w:tc>
          <w:tcPr>
            <w:tcW w:w="944" w:type="dxa"/>
            <w:gridSpan w:val="3"/>
            <w:tcBorders>
              <w:top w:val="single" w:sz="8" w:space="0" w:color="000000"/>
              <w:left w:val="single" w:sz="8" w:space="0" w:color="000000"/>
            </w:tcBorders>
            <w:shd w:fill="D3D3D3"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Q3 2025</w:t>
            </w:r>
          </w:p>
        </w:tc>
        <w:tc>
          <w:tcPr>
            <w:tcW w:w="916" w:type="dxa"/>
            <w:gridSpan w:val="3"/>
            <w:tcBorders>
              <w:top w:val="single" w:sz="8" w:space="0" w:color="000000"/>
              <w:left w:val="single" w:sz="8" w:space="0" w:color="000000"/>
            </w:tcBorders>
            <w:shd w:fill="D3D3D3"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Change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shd w:fill="D3D3D3"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Q3 2026</w:t>
            </w:r>
          </w:p>
        </w:tc>
        <w:tc>
          <w:tcPr>
            <w:tcW w:w="944" w:type="dxa"/>
            <w:gridSpan w:val="3"/>
            <w:tcBorders>
              <w:top w:val="single" w:sz="8" w:space="0" w:color="000000"/>
              <w:left w:val="single" w:sz="8" w:space="0" w:color="000000"/>
            </w:tcBorders>
            <w:shd w:fill="D3D3D3"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Q3 2025</w:t>
            </w:r>
          </w:p>
        </w:tc>
        <w:tc>
          <w:tcPr>
            <w:tcW w:w="961" w:type="dxa"/>
            <w:gridSpan w:val="3"/>
            <w:tcBorders>
              <w:top w:val="single" w:sz="8" w:space="0" w:color="000000"/>
              <w:left w:val="single" w:sz="8" w:space="0" w:color="000000"/>
              <w:right w:val="single" w:sz="8" w:space="0" w:color="000000"/>
            </w:tcBorders>
            <w:shd w:fill="D3D3D3"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Change</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revenue</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$25,274</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$23,937</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$68,898</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$64,582</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Organic revenue performance</w:t>
            </w:r>
          </w:p>
        </w:tc>
        <w:tc>
          <w:tcPr>
            <w:tcW w:w="944"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w:t>
            </w:r>
          </w:p>
        </w:tc>
      </w:tr>
      <w:tr>
        <w:trPr/>
        <w:tc>
          <w:tcPr>
            <w:tcW w:w="30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profit</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$4,260</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$3,569</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$11,496</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$7,941</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Operating margin </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16.9%</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14.9%</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195 bps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16.7%</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12.3%</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440 bps</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Core operating profit</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$4,277</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$4,137</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$11,394</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$10,837</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Core operating margin</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16.9%</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17.3%</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 bps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16.5%</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16.8%</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 bps</w:t>
            </w:r>
          </w:p>
        </w:tc>
      </w:tr>
      <w:tr>
        <w:trPr/>
        <w:tc>
          <w:tcPr>
            <w:tcW w:w="30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EPS</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$2.23</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$1.90</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$6.10</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$4.15</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Core EPS</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$2.34</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$2.29</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$6.15</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$5.88</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30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Core constant currency EPS</w:t>
            </w:r>
          </w:p>
        </w:tc>
        <w:tc>
          <w:tcPr>
            <w:tcW w:w="944" w:type="dxa"/>
            <w:gridSpan w:val="3"/>
            <w:tcBorders>
              <w:top w:val="single" w:sz="8" w:space="0" w:color="000000"/>
              <w:left w:val="single" w:sz="8" w:space="0" w:color="000000"/>
              <w:bottom w:val="single" w:sz="8" w:space="0" w:color="000000"/>
            </w:tcBorders>
            <w:shd w:fill="CECECE" w:val="clear"/>
            <w:tcMar>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bottom w:val="single" w:sz="8" w:space="0" w:color="000000"/>
            </w:tcBorders>
            <w:shd w:fill="CECECE" w:val="clear"/>
            <w:tcMar>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bottom w:val="single" w:sz="8" w:space="0" w:color="000000"/>
            </w:tcBorders>
            <w:shd w:fill="CECECE" w:val="clear"/>
            <w:tcMar>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bottom w:val="single" w:sz="8" w:space="0" w:color="000000"/>
            </w:tcBorders>
            <w:shd w:fill="CECECE" w:val="clear"/>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lineRule="auto" w:line="288" w:before="0" w:after="120"/>
        <w:jc w:val="both"/>
        <w:rPr/>
      </w:pPr>
      <w:r>
        <w:rPr>
          <w:rFonts w:ascii="Arial;sans-serif" w:hAnsi="Arial;sans-serif"/>
          <w:b w:val="false"/>
          <w:color w:val="000000"/>
          <w:sz w:val="9"/>
        </w:rPr>
        <w:t xml:space="preserve">1 </w:t>
      </w:r>
      <w:r>
        <w:rPr>
          <w:rFonts w:ascii="Arial;sans-serif" w:hAnsi="Arial;sans-serif"/>
          <w:b w:val="false"/>
          <w:color w:val="000000"/>
          <w:sz w:val="14"/>
        </w:rPr>
        <w:t xml:space="preserve">Versus the prior year. </w:t>
      </w:r>
    </w:p>
    <w:p>
      <w:pPr>
        <w:pStyle w:val="TextBody"/>
        <w:bidi w:val="0"/>
        <w:spacing w:lineRule="auto" w:line="288" w:before="0" w:after="0"/>
        <w:jc w:val="both"/>
        <w:rPr/>
      </w:pPr>
      <w:r>
        <w:rPr>
          <w:rFonts w:ascii="Arial;sans-serif" w:hAnsi="Arial;sans-serif"/>
          <w:b w:val="false"/>
          <w:color w:val="000000"/>
          <w:sz w:val="9"/>
        </w:rPr>
        <w:t xml:space="preserve">2 </w:t>
      </w:r>
      <w:r>
        <w:rPr>
          <w:rFonts w:ascii="Arial;sans-serif" w:hAnsi="Arial;sans-serif"/>
          <w:b w:val="false"/>
          <w:color w:val="000000"/>
          <w:sz w:val="14"/>
        </w:rPr>
        <w:t>Please refer to the reconciliation of generally accepted accounting principles (GAAP) and non-GAAP information in the attached exhibits and to the Glossary for the definitions of non-GAAP financial measures, including “Organic revenue performance,” “Core” and “Constant currency,” and to “Guidance and Outlook” for additional information regarding PepsiCo’s full-year 2026 financial guidance. PepsiCo provides guidance on a non-GAAP basis as we cannot predict certain elements which are included in reported GAAP results, including the impact of foreign exchange and commodity mark-to-market net impacts. Please refer to PepsiCo’s Quarterly Report on Form 10-Q for the 12 and 36 weeks ended September 5, 2026 (Q3 2026 Form 10-Q) filed with the Securities and Exchange Commission (SEC) for additional information regarding PepsiCo’s financial results.</w:t>
      </w:r>
    </w:p>
    <w:p>
      <w:pPr>
        <w:pStyle w:val="TextBody"/>
        <w:bidi w:val="0"/>
        <w:spacing w:before="8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44220"/>
                <wp:effectExtent l="0" t="0" r="0" b="0"/>
                <wp:wrapNone/>
                <wp:docPr id="6" name="Frame5"/>
                <a:graphic xmlns:a="http://schemas.openxmlformats.org/drawingml/2006/main">
                  <a:graphicData uri="http://schemas.microsoft.com/office/word/2010/wordprocessingShape">
                    <wps:wsp>
                      <wps:cNvSpPr txBox="1"/>
                      <wps:spPr>
                        <a:xfrm>
                          <a:off x="0" y="0"/>
                          <a:ext cx="6480175" cy="744220"/>
                        </a:xfrm>
                        <a:prstGeom prst="rect"/>
                        <a:solidFill>
                          <a:srgbClr val="FFFFFF"/>
                        </a:solidFill>
                      </wps:spPr>
                      <wps:txb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p>
                      <w:pPr>
                        <w:pStyle w:val="TextBody"/>
                        <w:bidi w:val="0"/>
                        <w:spacing w:before="0" w:after="0"/>
                        <w:ind w:left="0" w:right="0" w:firstLine="720"/>
                        <w:jc w:val="center"/>
                        <w:rPr/>
                      </w:pPr>
                      <w:r>
                        <w:rPr/>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Third-Quarter Results Discussion</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Net revenue increased 5.6% due to 3.1% organic revenue growth, a 1.7-percentage-point net benefit from acquisitions and divestitures and a 0.7-percentage-point benefit from foreign exchange translation. Organic revenue growth reflects the benefits associated with effective net pricing and a contribution from organic volume growth.</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In North America, convenient foods net revenue trends improved sequentially, reflecting savory snacks volume growth and volume market share improvement, offset by lower effective net pricing. The beverages business delivered 5 percent net revenue growth, primarily reflecting the benefits of acquisitions made in 2025.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The international businesses performed well with each segment delivering strong net revenue growth - aided by organic volume growth within Asia Pacific Foods, International Beverages Franchise and Latin America Foods.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2"/>
        </w:rPr>
        <w:t>Operating profit increased 19% and operating margin expanded 195 basis points, primarily reflecting a favorable net impact of acquisition and divestiture-related charges/credits and a favorable impact of net mark-to-market gains on commodity derivatives. Core operating profit increased 3%, with core operating margin contracting 35 basis points. The core operating profit performance reflects productivity savings, effective net pricing and a 4-percentage-point favorable impact of tariff refunds. These impacts were partially offset by certain operating cost increases and higher advertising and marketing expenses.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EPS increased 17% and core EPS increased 2%, primarily driven by operating profit growth.</w:t>
      </w:r>
    </w:p>
    <w:p>
      <w:pPr>
        <w:pStyle w:val="TextBody"/>
        <w:bidi w:val="0"/>
        <w:spacing w:lineRule="auto" w:line="288" w:before="240" w:after="120"/>
        <w:jc w:val="both"/>
        <w:rPr>
          <w:rFonts w:ascii="Arial;sans-serif" w:hAnsi="Arial;sans-serif"/>
          <w:b/>
          <w:color w:val="000000"/>
          <w:sz w:val="22"/>
        </w:rPr>
      </w:pPr>
      <w:r>
        <w:rPr>
          <w:rFonts w:ascii="Arial;sans-serif" w:hAnsi="Arial;sans-serif"/>
          <w:b/>
          <w:color w:val="000000"/>
          <w:sz w:val="22"/>
        </w:rPr>
        <w:t>Year-to-Date Results Discussion</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Net revenue increased 6.7% due to 2.7% organic revenue growth, a 2.0-percentage-point benefit from foreign exchange translation and a 2.0-percentage-point net benefit from acquisitions and divestitures. Organic revenue growth reflects the benefits associated with effective net pricing and a contribution from organic volume growth.</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In North America convenient foods, organic volume and volume market share increased aided by innovation and affordability initiatives. Convenient foods net revenue reflects organic volume growth and the benefits of an acquisition, offset by lower effective net pricing. The beverages business delivered 7 percent net revenue growth, primarily reflecting the benefits of acquisitions made in 2025 with organic revenue growth increasing 1 percent.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The international businesses performed well with each segment delivering strong net revenue growth - aided by organic volume growth within Asia Pacific Foods, International Beverages Franchise and EMEA.</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Operating profit increased 45% and operating margin expanded 440 basis points, primarily reflecting prior-year impairment charges related to the Rockstar and Be &amp; Cheery brands and a favorable net impact of acquisition and divestiture-related charges/credits. Core operating profit increased 5%, with core operating margin contracting 25 basis points. The core operating profit performance was primarily driven by productivity savings and effective net pricing, partially offset by certain operating cost increases.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EPS increased 47% and core EPS increased 5%, primarily driven by operating profit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44220"/>
                <wp:effectExtent l="0" t="0" r="0" b="0"/>
                <wp:wrapNone/>
                <wp:docPr id="7" name="Frame6"/>
                <a:graphic xmlns:a="http://schemas.openxmlformats.org/drawingml/2006/main">
                  <a:graphicData uri="http://schemas.microsoft.com/office/word/2010/wordprocessingShape">
                    <wps:wsp>
                      <wps:cNvSpPr txBox="1"/>
                      <wps:spPr>
                        <a:xfrm>
                          <a:off x="0" y="0"/>
                          <a:ext cx="6480175" cy="744220"/>
                        </a:xfrm>
                        <a:prstGeom prst="rect"/>
                        <a:solidFill>
                          <a:srgbClr val="FFFFFF"/>
                        </a:solidFill>
                      </wps:spPr>
                      <wps:txb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4"/>
          <w:u w:val="single"/>
        </w:rPr>
      </w:pPr>
      <w:r>
        <w:rPr>
          <w:rFonts w:ascii="Arial;sans-serif" w:hAnsi="Arial;sans-serif"/>
          <w:b/>
          <w:color w:val="000000"/>
          <w:sz w:val="24"/>
          <w:u w:val="single"/>
        </w:rPr>
        <w:t>Summary Third-Quarter 2026 Performance</w:t>
      </w:r>
    </w:p>
    <w:tbl>
      <w:tblPr>
        <w:tblW w:w="10205" w:type="dxa"/>
        <w:jc w:val="center"/>
        <w:tblInd w:w="0" w:type="dxa"/>
        <w:tblLayout w:type="fixed"/>
        <w:tblCellMar>
          <w:top w:w="28" w:type="dxa"/>
          <w:left w:w="28" w:type="dxa"/>
          <w:bottom w:w="28" w:type="dxa"/>
          <w:right w:w="28" w:type="dxa"/>
        </w:tblCellMar>
      </w:tblPr>
      <w:tblGrid>
        <w:gridCol w:w="907"/>
        <w:gridCol w:w="613"/>
        <w:gridCol w:w="616"/>
        <w:gridCol w:w="379"/>
        <w:gridCol w:w="379"/>
        <w:gridCol w:w="381"/>
        <w:gridCol w:w="540"/>
        <w:gridCol w:w="540"/>
        <w:gridCol w:w="518"/>
        <w:gridCol w:w="547"/>
        <w:gridCol w:w="547"/>
        <w:gridCol w:w="562"/>
        <w:gridCol w:w="325"/>
        <w:gridCol w:w="325"/>
        <w:gridCol w:w="326"/>
        <w:gridCol w:w="109"/>
        <w:gridCol w:w="109"/>
        <w:gridCol w:w="109"/>
        <w:gridCol w:w="423"/>
        <w:gridCol w:w="423"/>
        <w:gridCol w:w="424"/>
        <w:gridCol w:w="320"/>
        <w:gridCol w:w="320"/>
        <w:gridCol w:w="463"/>
      </w:tblGrid>
      <w:tr>
        <w:trPr/>
        <w:tc>
          <w:tcPr>
            <w:tcW w:w="9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24"/>
              </w:rPr>
              <w:t>Volume</w:t>
            </w:r>
            <w:r>
              <w:rPr>
                <w:rFonts w:ascii="Arial;sans-serif" w:hAnsi="Arial;sans-serif"/>
                <w:b/>
                <w:color w:val="000000"/>
                <w:sz w:val="16"/>
              </w:rPr>
              <w:t>(a)</w:t>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 Reported</w:t>
              <w:br/>
              <w:t>% Change</w:t>
            </w:r>
          </w:p>
        </w:tc>
        <w:tc>
          <w:tcPr>
            <w:tcW w:w="3254"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Point Impact</w:t>
            </w:r>
          </w:p>
        </w:tc>
        <w:tc>
          <w:tcPr>
            <w:tcW w:w="976"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Organic </w:t>
              <w:br/>
              <w:t>% Change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13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 Exchange Translation</w:t>
            </w:r>
          </w:p>
        </w:tc>
        <w:tc>
          <w:tcPr>
            <w:tcW w:w="16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Acquisitions and Divestitures</w:t>
            </w:r>
          </w:p>
        </w:tc>
        <w:tc>
          <w:tcPr>
            <w:tcW w:w="97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Convenient Foods</w:t>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Beverages</w:t>
            </w:r>
          </w:p>
        </w:tc>
      </w:tr>
      <w:tr>
        <w:trPr/>
        <w:tc>
          <w:tcPr>
            <w:tcW w:w="2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PepsiCo Foods North America (PFNA)</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3" w:type="dxa"/>
            <w:gridSpan w:val="3"/>
            <w:tcBorders>
              <w:top w:val="single" w:sz="8" w:space="0" w:color="000000"/>
              <w:left w:val="single" w:sz="8" w:space="0" w:color="000000"/>
              <w:right w:val="single" w:sz="8" w:space="0" w:color="000000"/>
            </w:tcBorders>
            <w:shd w:fill="CECECE" w:val="clear"/>
            <w:tcMar>
              <w:bottom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PepsiCo Beverages North America (PBNA)</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2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Beverages Franchise (IB Franchise)</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2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 Middle East and Africa (EMEA)</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2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 Foods (LatAm Foods)</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103" w:type="dxa"/>
            <w:gridSpan w:val="3"/>
            <w:tcBorders>
              <w:top w:val="single" w:sz="8" w:space="0" w:color="000000"/>
              <w:left w:val="single" w:sz="8" w:space="0" w:color="000000"/>
              <w:right w:val="single" w:sz="8" w:space="0" w:color="000000"/>
            </w:tcBorders>
            <w:shd w:fill="CECECE" w:val="clear"/>
            <w:tcMar>
              <w:bottom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 Foods</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103" w:type="dxa"/>
            <w:gridSpan w:val="3"/>
            <w:tcBorders>
              <w:top w:val="single" w:sz="8" w:space="0" w:color="000000"/>
              <w:left w:val="single" w:sz="8" w:space="0" w:color="000000"/>
              <w:right w:val="single" w:sz="8" w:space="0" w:color="000000"/>
            </w:tcBorders>
            <w:shd w:fill="CECECE" w:val="clear"/>
            <w:tcMar>
              <w:bottom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113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w:t>
            </w:r>
          </w:p>
        </w:tc>
        <w:tc>
          <w:tcPr>
            <w:tcW w:w="159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w:t>
            </w:r>
          </w:p>
        </w:tc>
        <w:tc>
          <w:tcPr>
            <w:tcW w:w="165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c>
          <w:tcPr>
            <w:tcW w:w="97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w:t>
            </w:r>
          </w:p>
        </w:tc>
        <w:tc>
          <w:tcPr>
            <w:tcW w:w="1103"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r>
    </w:tbl>
    <w:tbl>
      <w:tblPr>
        <w:tblW w:w="10205" w:type="dxa"/>
        <w:jc w:val="center"/>
        <w:tblInd w:w="0" w:type="dxa"/>
        <w:tblLayout w:type="fixed"/>
        <w:tblCellMar>
          <w:top w:w="28" w:type="dxa"/>
          <w:left w:w="28" w:type="dxa"/>
          <w:bottom w:w="28" w:type="dxa"/>
          <w:right w:w="28" w:type="dxa"/>
        </w:tblCellMar>
      </w:tblPr>
      <w:tblGrid>
        <w:gridCol w:w="821"/>
        <w:gridCol w:w="675"/>
        <w:gridCol w:w="693"/>
        <w:gridCol w:w="629"/>
        <w:gridCol w:w="629"/>
        <w:gridCol w:w="630"/>
        <w:gridCol w:w="726"/>
        <w:gridCol w:w="726"/>
        <w:gridCol w:w="727"/>
        <w:gridCol w:w="703"/>
        <w:gridCol w:w="703"/>
        <w:gridCol w:w="690"/>
        <w:gridCol w:w="541"/>
        <w:gridCol w:w="541"/>
        <w:gridCol w:w="771"/>
      </w:tblGrid>
      <w:tr>
        <w:trPr/>
        <w:tc>
          <w:tcPr>
            <w:tcW w:w="82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Operating Profit and EPS</w:t>
            </w:r>
          </w:p>
        </w:tc>
      </w:tr>
      <w:tr>
        <w:trPr/>
        <w:tc>
          <w:tcPr>
            <w:tcW w:w="218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 Reported % Change</w:t>
            </w:r>
          </w:p>
        </w:tc>
        <w:tc>
          <w:tcPr>
            <w:tcW w:w="4275"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Point Impact</w:t>
            </w:r>
          </w:p>
        </w:tc>
        <w:tc>
          <w:tcPr>
            <w:tcW w:w="185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Core Constant Currency </w:t>
              <w:br/>
              <w:t>% Change</w:t>
            </w:r>
          </w:p>
        </w:tc>
      </w:tr>
      <w:tr>
        <w:trPr/>
        <w:tc>
          <w:tcPr>
            <w:tcW w:w="218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Items Affecting Comparability</w:t>
            </w:r>
          </w:p>
        </w:tc>
        <w:tc>
          <w:tcPr>
            <w:tcW w:w="20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 Exchange Translation</w:t>
            </w:r>
          </w:p>
        </w:tc>
        <w:tc>
          <w:tcPr>
            <w:tcW w:w="185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PFNA</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PBNA</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IB Franchise</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EMEA</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LatAm Foods</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 Foods</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unallocated expenses</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2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18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19</w:t>
            </w:r>
          </w:p>
        </w:tc>
        <w:tc>
          <w:tcPr>
            <w:tcW w:w="21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(16)</w:t>
            </w:r>
          </w:p>
        </w:tc>
        <w:tc>
          <w:tcPr>
            <w:tcW w:w="209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w:t>
            </w:r>
          </w:p>
        </w:tc>
        <w:tc>
          <w:tcPr>
            <w:tcW w:w="1853"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2.5</w:t>
            </w:r>
          </w:p>
        </w:tc>
      </w:tr>
      <w:tr>
        <w:trPr/>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EPS</w:t>
            </w:r>
          </w:p>
        </w:tc>
        <w:tc>
          <w:tcPr>
            <w:tcW w:w="188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17</w:t>
            </w:r>
          </w:p>
        </w:tc>
        <w:tc>
          <w:tcPr>
            <w:tcW w:w="217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(15)</w:t>
            </w:r>
          </w:p>
        </w:tc>
        <w:tc>
          <w:tcPr>
            <w:tcW w:w="209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w:t>
            </w:r>
          </w:p>
        </w:tc>
        <w:tc>
          <w:tcPr>
            <w:tcW w:w="1853"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1.5</w:t>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(a)Excludes the impact of acquisitions and divestitures. In certain instances, the volume change shown here differs from the impact of organic volume change on net revenue performance disclosed in the Organic Revenue Performance table on page A-7, due to the impacts of product mix, nonconsolidated joint venture volume, and, for our franchise beverage businesses, temporary timing differences between bottler case sales (BCS) and concentrate shipments and equivalents (CSE). We report net revenue from our franchise beverage businesses based on CSE. The volume sold by our nonconsolidated joint ventures has no direct impact on our net revenue.</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Note: Amounts may not sum due to rounding.</w:t>
      </w:r>
    </w:p>
    <w:p>
      <w:pPr>
        <w:pStyle w:val="TextBody"/>
        <w:bidi w:val="0"/>
        <w:spacing w:lineRule="auto" w:line="288" w:before="0" w:after="240"/>
        <w:jc w:val="both"/>
        <w:rPr>
          <w:rFonts w:ascii="Arial;sans-serif" w:hAnsi="Arial;sans-serif"/>
          <w:b w:val="false"/>
          <w:i/>
          <w:color w:val="000000"/>
          <w:sz w:val="18"/>
        </w:rPr>
      </w:pPr>
      <w:r>
        <w:rPr>
          <w:rFonts w:ascii="Arial;sans-serif" w:hAnsi="Arial;sans-serif"/>
          <w:b w:val="false"/>
          <w:i/>
          <w:color w:val="000000"/>
          <w:sz w:val="18"/>
        </w:rPr>
        <w:t>Organic revenue and core constant currency results are non-GAAP financial measures. Please refer to the reconciliation of GAAP and non-GAAP information in the attached exhibits and to the Glossary for definitions of “Organic revenue performance,” “Core” and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44220"/>
                <wp:effectExtent l="0" t="0" r="0" b="0"/>
                <wp:wrapNone/>
                <wp:docPr id="8" name="Frame7"/>
                <a:graphic xmlns:a="http://schemas.openxmlformats.org/drawingml/2006/main">
                  <a:graphicData uri="http://schemas.microsoft.com/office/word/2010/wordprocessingShape">
                    <wps:wsp>
                      <wps:cNvSpPr txBox="1"/>
                      <wps:spPr>
                        <a:xfrm>
                          <a:off x="0" y="0"/>
                          <a:ext cx="6480175" cy="744220"/>
                        </a:xfrm>
                        <a:prstGeom prst="rect"/>
                        <a:solidFill>
                          <a:srgbClr val="FFFFFF"/>
                        </a:solidFill>
                      </wps:spPr>
                      <wps:txb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417" w:before="0" w:after="0"/>
        <w:jc w:val="both"/>
        <w:rPr>
          <w:rFonts w:ascii="Arial;sans-serif" w:hAnsi="Arial;sans-serif"/>
          <w:b/>
          <w:color w:val="000000"/>
          <w:sz w:val="24"/>
          <w:u w:val="single"/>
        </w:rPr>
      </w:pPr>
      <w:r>
        <w:rPr>
          <w:rFonts w:ascii="Arial;sans-serif" w:hAnsi="Arial;sans-serif"/>
          <w:b/>
          <w:color w:val="000000"/>
          <w:sz w:val="24"/>
          <w:u w:val="single"/>
        </w:rPr>
        <w:t>Summary Year-to-Date 2026 Performance</w:t>
      </w:r>
    </w:p>
    <w:tbl>
      <w:tblPr>
        <w:tblW w:w="10205" w:type="dxa"/>
        <w:jc w:val="center"/>
        <w:tblInd w:w="0" w:type="dxa"/>
        <w:tblLayout w:type="fixed"/>
        <w:tblCellMar>
          <w:top w:w="28" w:type="dxa"/>
          <w:left w:w="28" w:type="dxa"/>
          <w:bottom w:w="28" w:type="dxa"/>
          <w:right w:w="28" w:type="dxa"/>
        </w:tblCellMar>
      </w:tblPr>
      <w:tblGrid>
        <w:gridCol w:w="466"/>
        <w:gridCol w:w="410"/>
        <w:gridCol w:w="421"/>
        <w:gridCol w:w="420"/>
        <w:gridCol w:w="420"/>
        <w:gridCol w:w="422"/>
        <w:gridCol w:w="642"/>
        <w:gridCol w:w="642"/>
        <w:gridCol w:w="628"/>
        <w:gridCol w:w="643"/>
        <w:gridCol w:w="643"/>
        <w:gridCol w:w="660"/>
        <w:gridCol w:w="325"/>
        <w:gridCol w:w="325"/>
        <w:gridCol w:w="326"/>
        <w:gridCol w:w="109"/>
        <w:gridCol w:w="109"/>
        <w:gridCol w:w="109"/>
        <w:gridCol w:w="460"/>
        <w:gridCol w:w="460"/>
        <w:gridCol w:w="462"/>
        <w:gridCol w:w="320"/>
        <w:gridCol w:w="320"/>
        <w:gridCol w:w="463"/>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24"/>
              </w:rPr>
              <w:t>Volume</w:t>
            </w:r>
            <w:r>
              <w:rPr>
                <w:rFonts w:ascii="Arial;sans-serif" w:hAnsi="Arial;sans-serif"/>
                <w:b/>
                <w:color w:val="000000"/>
                <w:sz w:val="16"/>
              </w:rPr>
              <w:t>(a)</w:t>
            </w:r>
          </w:p>
        </w:tc>
      </w:tr>
      <w:tr>
        <w:trPr/>
        <w:tc>
          <w:tcPr>
            <w:tcW w:w="129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GAAP Reported </w:t>
              <w:br/>
              <w:t>% Change</w:t>
            </w:r>
          </w:p>
        </w:tc>
        <w:tc>
          <w:tcPr>
            <w:tcW w:w="385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Point Impact</w:t>
            </w:r>
          </w:p>
        </w:tc>
        <w:tc>
          <w:tcPr>
            <w:tcW w:w="976"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Organic </w:t>
              <w:br/>
              <w:t>% Change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29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 Exchange Translation</w:t>
            </w:r>
          </w:p>
        </w:tc>
        <w:tc>
          <w:tcPr>
            <w:tcW w:w="194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Acquisitions and Divestitures</w:t>
            </w:r>
          </w:p>
        </w:tc>
        <w:tc>
          <w:tcPr>
            <w:tcW w:w="97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Convenient Foods</w:t>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Beverages</w:t>
            </w:r>
          </w:p>
        </w:tc>
      </w:tr>
      <w:tr>
        <w:trPr/>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PFNA</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1103" w:type="dxa"/>
            <w:gridSpan w:val="3"/>
            <w:tcBorders>
              <w:top w:val="single" w:sz="8" w:space="0" w:color="000000"/>
              <w:left w:val="single" w:sz="8" w:space="0" w:color="000000"/>
              <w:right w:val="single" w:sz="8" w:space="0" w:color="000000"/>
            </w:tcBorders>
            <w:shd w:fill="CECECE" w:val="clear"/>
            <w:tcMar>
              <w:bottom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PBNA</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IB Franchise</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1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EMEA</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LatAm Foods</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3" w:type="dxa"/>
            <w:gridSpan w:val="3"/>
            <w:tcBorders>
              <w:top w:val="single" w:sz="8" w:space="0" w:color="000000"/>
              <w:left w:val="single" w:sz="8" w:space="0" w:color="000000"/>
              <w:right w:val="single" w:sz="8" w:space="0" w:color="000000"/>
            </w:tcBorders>
            <w:shd w:fill="CECECE" w:val="clear"/>
            <w:tcMar>
              <w:bottom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 Foods</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1103" w:type="dxa"/>
            <w:gridSpan w:val="3"/>
            <w:tcBorders>
              <w:top w:val="single" w:sz="8" w:space="0" w:color="000000"/>
              <w:left w:val="single" w:sz="8" w:space="0" w:color="000000"/>
              <w:right w:val="single" w:sz="8" w:space="0" w:color="000000"/>
            </w:tcBorders>
            <w:shd w:fill="CECECE" w:val="clear"/>
            <w:tcMar>
              <w:bottom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126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w:t>
            </w:r>
          </w:p>
        </w:tc>
        <w:tc>
          <w:tcPr>
            <w:tcW w:w="191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c>
          <w:tcPr>
            <w:tcW w:w="194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c>
          <w:tcPr>
            <w:tcW w:w="97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c>
          <w:tcPr>
            <w:tcW w:w="1103"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r>
    </w:tbl>
    <w:tbl>
      <w:tblPr>
        <w:tblW w:w="10205" w:type="dxa"/>
        <w:jc w:val="center"/>
        <w:tblInd w:w="0" w:type="dxa"/>
        <w:tblLayout w:type="fixed"/>
        <w:tblCellMar>
          <w:top w:w="28" w:type="dxa"/>
          <w:left w:w="28" w:type="dxa"/>
          <w:bottom w:w="28" w:type="dxa"/>
          <w:right w:w="28" w:type="dxa"/>
        </w:tblCellMar>
      </w:tblPr>
      <w:tblGrid>
        <w:gridCol w:w="866"/>
        <w:gridCol w:w="726"/>
        <w:gridCol w:w="745"/>
        <w:gridCol w:w="456"/>
        <w:gridCol w:w="456"/>
        <w:gridCol w:w="458"/>
        <w:gridCol w:w="765"/>
        <w:gridCol w:w="765"/>
        <w:gridCol w:w="767"/>
        <w:gridCol w:w="748"/>
        <w:gridCol w:w="748"/>
        <w:gridCol w:w="739"/>
        <w:gridCol w:w="573"/>
        <w:gridCol w:w="573"/>
        <w:gridCol w:w="820"/>
      </w:tblGrid>
      <w:tr>
        <w:trPr/>
        <w:tc>
          <w:tcPr>
            <w:tcW w:w="86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Operating Profit and EPS</w:t>
            </w:r>
          </w:p>
        </w:tc>
      </w:tr>
      <w:tr>
        <w:trPr/>
        <w:tc>
          <w:tcPr>
            <w:tcW w:w="23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GAAP Reported </w:t>
              <w:br/>
              <w:t>% Change</w:t>
            </w:r>
          </w:p>
        </w:tc>
        <w:tc>
          <w:tcPr>
            <w:tcW w:w="453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Point Impact</w:t>
            </w:r>
          </w:p>
        </w:tc>
        <w:tc>
          <w:tcPr>
            <w:tcW w:w="196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Core Constant Currency </w:t>
              <w:br/>
              <w:t>% Change</w:t>
            </w:r>
          </w:p>
        </w:tc>
      </w:tr>
      <w:tr>
        <w:trPr/>
        <w:tc>
          <w:tcPr>
            <w:tcW w:w="23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Items Affecting Comparability</w:t>
            </w:r>
          </w:p>
        </w:tc>
        <w:tc>
          <w:tcPr>
            <w:tcW w:w="22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 Exchange Translation</w:t>
            </w:r>
          </w:p>
        </w:tc>
        <w:tc>
          <w:tcPr>
            <w:tcW w:w="196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PFNA</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PBNA</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416</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(413)</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IB Franchise</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EMEA</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LatAm Foods</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 Foods</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unallocated expenses</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233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13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45</w:t>
            </w:r>
          </w:p>
        </w:tc>
        <w:tc>
          <w:tcPr>
            <w:tcW w:w="229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(40)</w:t>
            </w:r>
          </w:p>
        </w:tc>
        <w:tc>
          <w:tcPr>
            <w:tcW w:w="22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c>
          <w:tcPr>
            <w:tcW w:w="196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r>
      <w:tr>
        <w:trPr/>
        <w:tc>
          <w:tcPr>
            <w:tcW w:w="2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EPS</w:t>
            </w:r>
          </w:p>
        </w:tc>
        <w:tc>
          <w:tcPr>
            <w:tcW w:w="137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w:t>
            </w:r>
          </w:p>
        </w:tc>
        <w:tc>
          <w:tcPr>
            <w:tcW w:w="229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(42)</w:t>
            </w:r>
          </w:p>
        </w:tc>
        <w:tc>
          <w:tcPr>
            <w:tcW w:w="223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(2.5)</w:t>
            </w:r>
          </w:p>
        </w:tc>
        <w:tc>
          <w:tcPr>
            <w:tcW w:w="196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(a)Excludes the impact of acquisitions and divestitures. In certain instances, the volume change shown here differs from the impact of organic volume change on net revenue performance disclosed in the Organic Revenue Performance table on page A-7, due to the impacts of product mix, nonconsolidated joint venture volume, and, for our franchise beverage businesses, temporary timing differences between BCS and CSE. We report net revenue from our franchise beverage businesses based on CSE. The volume sold by our nonconsolidated joint ventures has no direct impact on our net revenue.</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i/>
          <w:color w:val="000000"/>
          <w:sz w:val="18"/>
        </w:rPr>
      </w:pPr>
      <w:r>
        <w:rPr>
          <w:rFonts w:ascii="Arial;sans-serif" w:hAnsi="Arial;sans-serif"/>
          <w:b w:val="false"/>
          <w:i/>
          <w:color w:val="000000"/>
          <w:sz w:val="18"/>
        </w:rPr>
        <w:t>Note: Amounts may not sum due to rounding.</w:t>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Organic revenue and core constant currency results are non-GAAP financial measures. Please refer to the reconciliation of GAAP and non-GAAP information in the attached exhibits and to the Glossary for definitions of “Organic revenue performance,” “Core” and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44220"/>
                <wp:effectExtent l="0" t="0" r="0" b="0"/>
                <wp:wrapNone/>
                <wp:docPr id="9" name="Frame8"/>
                <a:graphic xmlns:a="http://schemas.openxmlformats.org/drawingml/2006/main">
                  <a:graphicData uri="http://schemas.microsoft.com/office/word/2010/wordprocessingShape">
                    <wps:wsp>
                      <wps:cNvSpPr txBox="1"/>
                      <wps:spPr>
                        <a:xfrm>
                          <a:off x="0" y="0"/>
                          <a:ext cx="6480175" cy="744220"/>
                        </a:xfrm>
                        <a:prstGeom prst="rect"/>
                        <a:solidFill>
                          <a:srgbClr val="FFFFFF"/>
                        </a:solidFill>
                      </wps:spPr>
                      <wps:txb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417" w:before="120" w:after="120"/>
        <w:jc w:val="both"/>
        <w:rPr>
          <w:rFonts w:ascii="Arial;sans-serif" w:hAnsi="Arial;sans-serif"/>
          <w:b/>
          <w:color w:val="000000"/>
          <w:sz w:val="24"/>
        </w:rPr>
      </w:pPr>
      <w:r>
        <w:rPr>
          <w:rFonts w:ascii="Arial;sans-serif" w:hAnsi="Arial;sans-serif"/>
          <w:b/>
          <w:color w:val="000000"/>
          <w:sz w:val="24"/>
        </w:rPr>
        <w:t xml:space="preserve">Guidance and Outlook </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 xml:space="preserve">The Company provides guidance on a non-GAAP basis as we cannot predict certain elements which are included in reported GAAP results, including the impact of foreign exchange translation and commodity mark-to-market net impacts. PepsiCo’s current and previous fiscal 2026 outlook is summarized below. </w:t>
      </w:r>
    </w:p>
    <w:p>
      <w:pPr>
        <w:pStyle w:val="TextBody"/>
        <w:bidi w:val="0"/>
        <w:spacing w:lineRule="auto" w:line="268" w:before="120" w:after="120"/>
        <w:jc w:val="center"/>
        <w:rPr/>
      </w:pPr>
      <w:r>
        <w:rPr>
          <w:rFonts w:ascii="Arial;sans-serif" w:hAnsi="Arial;sans-serif"/>
          <w:b/>
          <w:color w:val="000000"/>
          <w:sz w:val="22"/>
        </w:rPr>
        <w:t>Fiscal 2026 Guidance (</w:t>
      </w:r>
      <w:r>
        <w:rPr>
          <w:rFonts w:ascii="sans-serif" w:hAnsi="sans-serif"/>
          <w:b/>
          <w:color w:val="000000"/>
          <w:sz w:val="24"/>
        </w:rPr>
        <w:t>changes are bolded &amp; italicized below)</w:t>
      </w:r>
    </w:p>
    <w:tbl>
      <w:tblPr>
        <w:tblW w:w="10205" w:type="dxa"/>
        <w:jc w:val="left"/>
        <w:tblInd w:w="0" w:type="dxa"/>
        <w:tblLayout w:type="fixed"/>
        <w:tblCellMar>
          <w:top w:w="28" w:type="dxa"/>
          <w:left w:w="28" w:type="dxa"/>
          <w:bottom w:w="28" w:type="dxa"/>
          <w:right w:w="28" w:type="dxa"/>
        </w:tblCellMar>
      </w:tblPr>
      <w:tblGrid>
        <w:gridCol w:w="938"/>
        <w:gridCol w:w="737"/>
        <w:gridCol w:w="743"/>
        <w:gridCol w:w="1333"/>
        <w:gridCol w:w="1333"/>
        <w:gridCol w:w="1345"/>
        <w:gridCol w:w="1102"/>
        <w:gridCol w:w="1102"/>
        <w:gridCol w:w="1572"/>
      </w:tblGrid>
      <w:tr>
        <w:trPr/>
        <w:tc>
          <w:tcPr>
            <w:tcW w:w="93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r>
      <w:tr>
        <w:trPr/>
        <w:tc>
          <w:tcPr>
            <w:tcW w:w="2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Current</w:t>
            </w:r>
          </w:p>
        </w:tc>
        <w:tc>
          <w:tcPr>
            <w:tcW w:w="3776"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Previous</w:t>
            </w:r>
          </w:p>
        </w:tc>
      </w:tr>
      <w:tr>
        <w:trPr/>
        <w:tc>
          <w:tcPr>
            <w:tcW w:w="24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Revenue</w:t>
            </w:r>
          </w:p>
        </w:tc>
        <w:tc>
          <w:tcPr>
            <w:tcW w:w="40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Approximately +3%</w:t>
            </w:r>
          </w:p>
        </w:tc>
        <w:tc>
          <w:tcPr>
            <w:tcW w:w="37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 to +4%</w:t>
            </w:r>
          </w:p>
        </w:tc>
      </w:tr>
      <w:tr>
        <w:trPr/>
        <w:tc>
          <w:tcPr>
            <w:tcW w:w="24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Foreign Exchange Translation </w:t>
            </w:r>
            <w:r>
              <w:rPr>
                <w:rFonts w:ascii="Arial;sans-serif" w:hAnsi="Arial;sans-serif"/>
                <w:b w:val="false"/>
                <w:color w:val="000000"/>
                <w:sz w:val="12"/>
              </w:rPr>
              <w:t>(a)</w:t>
            </w:r>
          </w:p>
        </w:tc>
        <w:tc>
          <w:tcPr>
            <w:tcW w:w="40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Approximately +1.5% to net revenue and core EPS growth</w:t>
            </w:r>
          </w:p>
        </w:tc>
        <w:tc>
          <w:tcPr>
            <w:tcW w:w="37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Approximately +1% to net revenue and core EPS growth</w:t>
            </w:r>
          </w:p>
        </w:tc>
      </w:tr>
      <w:tr>
        <w:trPr/>
        <w:tc>
          <w:tcPr>
            <w:tcW w:w="24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Acquisitions, net of Divestitures </w:t>
            </w:r>
            <w:r>
              <w:rPr>
                <w:rFonts w:ascii="Arial;sans-serif" w:hAnsi="Arial;sans-serif"/>
                <w:b w:val="false"/>
                <w:color w:val="000000"/>
                <w:sz w:val="12"/>
              </w:rPr>
              <w:t>(b)</w:t>
            </w:r>
          </w:p>
        </w:tc>
        <w:tc>
          <w:tcPr>
            <w:tcW w:w="40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Approximately +1.5% to net revenue growth</w:t>
            </w:r>
          </w:p>
        </w:tc>
        <w:tc>
          <w:tcPr>
            <w:tcW w:w="37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Approximately +1% to net revenue growth</w:t>
            </w:r>
          </w:p>
        </w:tc>
      </w:tr>
      <w:tr>
        <w:trPr/>
        <w:tc>
          <w:tcPr>
            <w:tcW w:w="2418"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40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Approximately +6%</w:t>
            </w:r>
          </w:p>
        </w:tc>
        <w:tc>
          <w:tcPr>
            <w:tcW w:w="37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 to +6%</w:t>
            </w:r>
          </w:p>
        </w:tc>
      </w:tr>
      <w:tr>
        <w:trPr/>
        <w:tc>
          <w:tcPr>
            <w:tcW w:w="24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Core Annual Effective Tax Rate </w:t>
            </w:r>
            <w:r>
              <w:rPr>
                <w:rFonts w:ascii="Arial;sans-serif" w:hAnsi="Arial;sans-serif"/>
                <w:b w:val="false"/>
                <w:color w:val="000000"/>
                <w:sz w:val="12"/>
              </w:rPr>
              <w:t>(c)</w:t>
            </w:r>
          </w:p>
        </w:tc>
        <w:tc>
          <w:tcPr>
            <w:tcW w:w="40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Approximately 21%</w:t>
            </w:r>
          </w:p>
        </w:tc>
        <w:tc>
          <w:tcPr>
            <w:tcW w:w="37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Approximately 22%</w:t>
            </w:r>
          </w:p>
        </w:tc>
      </w:tr>
      <w:tr>
        <w:trPr/>
        <w:tc>
          <w:tcPr>
            <w:tcW w:w="24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Constant Currency EPS</w:t>
            </w:r>
          </w:p>
        </w:tc>
        <w:tc>
          <w:tcPr>
            <w:tcW w:w="40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 xml:space="preserve">+1% to +2% </w:t>
            </w:r>
          </w:p>
        </w:tc>
        <w:tc>
          <w:tcPr>
            <w:tcW w:w="37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Low-end of +4% to +6%</w:t>
            </w:r>
          </w:p>
        </w:tc>
      </w:tr>
      <w:tr>
        <w:trPr/>
        <w:tc>
          <w:tcPr>
            <w:tcW w:w="24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EPS</w:t>
            </w:r>
          </w:p>
        </w:tc>
        <w:tc>
          <w:tcPr>
            <w:tcW w:w="40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+2.5% to +3.5%</w:t>
            </w:r>
          </w:p>
        </w:tc>
        <w:tc>
          <w:tcPr>
            <w:tcW w:w="37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Low-end of +5% to +7%</w:t>
            </w:r>
          </w:p>
        </w:tc>
      </w:tr>
      <w:tr>
        <w:trPr/>
        <w:tc>
          <w:tcPr>
            <w:tcW w:w="24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Spending</w:t>
            </w:r>
          </w:p>
        </w:tc>
        <w:tc>
          <w:tcPr>
            <w:tcW w:w="40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Below 5% of net revenue</w:t>
            </w:r>
          </w:p>
        </w:tc>
        <w:tc>
          <w:tcPr>
            <w:tcW w:w="37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Below 5% of net revenue</w:t>
            </w:r>
          </w:p>
        </w:tc>
      </w:tr>
      <w:tr>
        <w:trPr/>
        <w:tc>
          <w:tcPr>
            <w:tcW w:w="24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 Conversion Ratio</w:t>
            </w:r>
          </w:p>
        </w:tc>
        <w:tc>
          <w:tcPr>
            <w:tcW w:w="40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At least 80 percent</w:t>
            </w:r>
          </w:p>
        </w:tc>
        <w:tc>
          <w:tcPr>
            <w:tcW w:w="37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At least 80 percent</w:t>
            </w:r>
          </w:p>
        </w:tc>
      </w:tr>
      <w:tr>
        <w:trPr/>
        <w:tc>
          <w:tcPr>
            <w:tcW w:w="24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Cash Returns to Shareholders </w:t>
            </w:r>
            <w:r>
              <w:rPr>
                <w:rFonts w:ascii="Arial;sans-serif" w:hAnsi="Arial;sans-serif"/>
                <w:b w:val="false"/>
                <w:color w:val="000000"/>
                <w:sz w:val="12"/>
              </w:rPr>
              <w:t>(d)</w:t>
            </w:r>
          </w:p>
        </w:tc>
        <w:tc>
          <w:tcPr>
            <w:tcW w:w="40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 billion</w:t>
            </w:r>
          </w:p>
        </w:tc>
        <w:tc>
          <w:tcPr>
            <w:tcW w:w="37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 billion</w:t>
            </w:r>
          </w:p>
        </w:tc>
      </w:tr>
    </w:tbl>
    <w:p>
      <w:pPr>
        <w:pStyle w:val="TextBody"/>
        <w:bidi w:val="0"/>
        <w:spacing w:lineRule="auto" w:line="417"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(a)Assumptions are based on current foreign exchange rates, as we are unable to predict the impact of exchange translation rates.</w:t>
      </w:r>
    </w:p>
    <w:p>
      <w:pPr>
        <w:pStyle w:val="TextBody"/>
        <w:bidi w:val="0"/>
        <w:spacing w:lineRule="auto" w:line="417"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(b)Refers to acquisitions, net of divestitures, that occurred in 2025.</w:t>
      </w:r>
    </w:p>
    <w:p>
      <w:pPr>
        <w:pStyle w:val="TextBody"/>
        <w:bidi w:val="0"/>
        <w:spacing w:lineRule="auto" w:line="417"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(c)Includes the anticipated impact of global minimum tax regulations.</w:t>
      </w:r>
    </w:p>
    <w:p>
      <w:pPr>
        <w:pStyle w:val="TextBody"/>
        <w:bidi w:val="0"/>
        <w:spacing w:lineRule="auto" w:line="417"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(d)Comprised of dividends of $7.9 billion and share repurchases of $1.0 billion.</w:t>
      </w:r>
    </w:p>
    <w:p>
      <w:pPr>
        <w:pStyle w:val="TextBody"/>
        <w:bidi w:val="0"/>
        <w:spacing w:lineRule="auto" w:line="417" w:before="120" w:after="120"/>
        <w:jc w:val="both"/>
        <w:rPr>
          <w:rFonts w:ascii="Arial;sans-serif" w:hAnsi="Arial;sans-serif"/>
          <w:b/>
          <w:color w:val="000000"/>
          <w:sz w:val="22"/>
        </w:rPr>
      </w:pPr>
      <w:r>
        <w:rPr>
          <w:rFonts w:ascii="Arial;sans-serif" w:hAnsi="Arial;sans-serif"/>
          <w:b/>
          <w:color w:val="000000"/>
          <w:sz w:val="22"/>
        </w:rPr>
        <w:t>Prepared Management Remarks and Live Question and Answer Webcast</w:t>
      </w:r>
    </w:p>
    <w:p>
      <w:pPr>
        <w:pStyle w:val="TextBody"/>
        <w:bidi w:val="0"/>
        <w:spacing w:lineRule="auto" w:line="417" w:before="0" w:after="120"/>
        <w:jc w:val="both"/>
        <w:rPr>
          <w:rFonts w:ascii="Arial;sans-serif" w:hAnsi="Arial;sans-serif"/>
          <w:b w:val="false"/>
          <w:color w:val="000000"/>
          <w:sz w:val="22"/>
        </w:rPr>
      </w:pPr>
      <w:r>
        <w:rPr>
          <w:rFonts w:ascii="Arial;sans-serif" w:hAnsi="Arial;sans-serif"/>
          <w:b w:val="false"/>
          <w:color w:val="000000"/>
          <w:sz w:val="22"/>
        </w:rPr>
        <w:t>At approximately 6:00 a.m. (Eastern time) on October 8, 2026, the Company will post prepared management remarks (in pdf format) regarding its third quarter results and business update, including its outlook for 2026, at https://www.pepsico.com/investors. At 8:15 a.m. (Eastern time) on October 8, 2026, the Company will host a live question and answer session with investors and financial analysts. Further details will be accessible on the Company’s website at https://www.pepsico.com/investors.</w:t>
      </w:r>
    </w:p>
    <w:tbl>
      <w:tblPr>
        <w:tblW w:w="7544" w:type="dxa"/>
        <w:jc w:val="center"/>
        <w:tblInd w:w="0" w:type="dxa"/>
        <w:tblLayout w:type="fixed"/>
        <w:tblCellMar>
          <w:top w:w="28" w:type="dxa"/>
          <w:left w:w="28" w:type="dxa"/>
          <w:bottom w:w="28" w:type="dxa"/>
          <w:right w:w="28" w:type="dxa"/>
        </w:tblCellMar>
      </w:tblPr>
      <w:tblGrid>
        <w:gridCol w:w="385"/>
        <w:gridCol w:w="339"/>
        <w:gridCol w:w="341"/>
        <w:gridCol w:w="784"/>
        <w:gridCol w:w="784"/>
        <w:gridCol w:w="788"/>
        <w:gridCol w:w="109"/>
        <w:gridCol w:w="109"/>
        <w:gridCol w:w="109"/>
        <w:gridCol w:w="1111"/>
        <w:gridCol w:w="1111"/>
        <w:gridCol w:w="1574"/>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Contacts:</w:t>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Communications</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investor@pepsico.com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pepsicomediarelations@pepsico.com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44220"/>
                <wp:effectExtent l="0" t="0" r="0" b="0"/>
                <wp:wrapNone/>
                <wp:docPr id="10" name="Frame9"/>
                <a:graphic xmlns:a="http://schemas.openxmlformats.org/drawingml/2006/main">
                  <a:graphicData uri="http://schemas.microsoft.com/office/word/2010/wordprocessingShape">
                    <wps:wsp>
                      <wps:cNvSpPr txBox="1"/>
                      <wps:spPr>
                        <a:xfrm>
                          <a:off x="0" y="0"/>
                          <a:ext cx="6480175" cy="744220"/>
                        </a:xfrm>
                        <a:prstGeom prst="rect"/>
                        <a:solidFill>
                          <a:srgbClr val="FFFFFF"/>
                        </a:solidFill>
                      </wps:spPr>
                      <wps:txb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tbl>
      <w:tblPr>
        <w:tblW w:w="10205" w:type="dxa"/>
        <w:jc w:val="center"/>
        <w:tblInd w:w="0" w:type="dxa"/>
        <w:tblLayout w:type="fixed"/>
        <w:tblCellMar>
          <w:top w:w="28" w:type="dxa"/>
          <w:left w:w="28" w:type="dxa"/>
          <w:bottom w:w="28" w:type="dxa"/>
          <w:right w:w="28" w:type="dxa"/>
        </w:tblCellMar>
      </w:tblPr>
      <w:tblGrid>
        <w:gridCol w:w="1810"/>
        <w:gridCol w:w="1595"/>
        <w:gridCol w:w="160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 Weeks Ended</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of intangible assets </w:t>
            </w:r>
            <w:r>
              <w:rPr>
                <w:rFonts w:ascii="Times New Roman;serif" w:hAnsi="Times New Roman;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(expense)/income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PepsiCo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PepsiCo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270"/>
        <w:jc w:val="both"/>
        <w:rPr/>
      </w:pPr>
      <w:r>
        <w:rPr>
          <w:rFonts w:ascii="Times New Roman;serif" w:hAnsi="Times New Roman;serif"/>
          <w:b w:val="false"/>
          <w:i/>
          <w:color w:val="000000"/>
          <w:sz w:val="18"/>
          <w:shd w:fill="FFFFFF" w:val="clear"/>
        </w:rPr>
        <w:t>(a)</w:t>
      </w:r>
      <w:r>
        <w:rPr>
          <w:rFonts w:ascii="Times New Roman;serif" w:hAnsi="Times New Roman;serif"/>
          <w:b w:val="false"/>
          <w:i/>
          <w:color w:val="000000"/>
          <w:sz w:val="18"/>
        </w:rPr>
        <w:t>For the 12 and 36 weeks ended September 6, 2025, we recognized charges primarily related to the impairment of our Rockstar brand.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47"/>
        <w:gridCol w:w="2362"/>
        <w:gridCol w:w="2373"/>
        <w:gridCol w:w="226"/>
        <w:gridCol w:w="706"/>
        <w:gridCol w:w="109"/>
        <w:gridCol w:w="109"/>
        <w:gridCol w:w="109"/>
        <w:gridCol w:w="109"/>
        <w:gridCol w:w="226"/>
        <w:gridCol w:w="706"/>
        <w:gridCol w:w="223"/>
      </w:tblGrid>
      <w:tr>
        <w:trPr/>
        <w:tc>
          <w:tcPr>
            <w:tcW w:w="2947"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7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 Weeks Ended</w:t>
            </w:r>
          </w:p>
        </w:tc>
      </w:tr>
      <w:tr>
        <w:trPr/>
        <w:tc>
          <w:tcPr>
            <w:tcW w:w="7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5,740 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2,315 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Impairment and other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1,960 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right-of-use asset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Restructuring and impairment charges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payments for 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 and divestiture-related charges/credits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payments for acquisition and divestiture-related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Pension and retiree medical plan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Pension and retiree medical plan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income taxes and other tax charges/credits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 payments related to the Tax Cuts and Jobs Act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and notes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(1,747)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5,468 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Capital spending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(2,499)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Sales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272 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Acquisitions, net of cash acquired, investments in noncontrolled affiliates and purchases of intangible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(3,176)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Short-term investments, by original maturity: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maturities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425 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Three months or less,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investing,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Used for Investing Activities</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(2,347)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(5,237)</w:t>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(Continued on following page)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120" w:after="1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2789"/>
        <w:gridCol w:w="2412"/>
        <w:gridCol w:w="2428"/>
        <w:gridCol w:w="226"/>
        <w:gridCol w:w="826"/>
        <w:gridCol w:w="109"/>
        <w:gridCol w:w="109"/>
        <w:gridCol w:w="109"/>
        <w:gridCol w:w="109"/>
        <w:gridCol w:w="226"/>
        <w:gridCol w:w="706"/>
        <w:gridCol w:w="156"/>
      </w:tblGrid>
      <w:tr>
        <w:trPr/>
        <w:tc>
          <w:tcPr>
            <w:tcW w:w="278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 Weeks Ended</w:t>
            </w:r>
          </w:p>
        </w:tc>
      </w:tr>
      <w:tr>
        <w:trPr/>
        <w:tc>
          <w:tcPr>
            <w:tcW w:w="7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issuances of long-term debt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Short-term borrowings, by original maturity: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proceeds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payments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Three months or less,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dividends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 repurchases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exercises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Withholding tax payments on restricted stock units and performance stock units converted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financing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Used for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exchange rate changes on cash and cash equivalents and restricted cash</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Increase/(Decrease) in Cash and Cash Equivalents and Restricted Cash</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Cash and Cash Equivalents and Restricted Cash, Beginning of Year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Cash and Cash Equivalents and Restricted Cash,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Supplemental Non-Cash Activity</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Right-of-use assets obtained in exchange for lease obligations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 obtained for certain assets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2942"/>
        <w:gridCol w:w="2397"/>
        <w:gridCol w:w="2411"/>
        <w:gridCol w:w="196"/>
        <w:gridCol w:w="736"/>
        <w:gridCol w:w="109"/>
        <w:gridCol w:w="109"/>
        <w:gridCol w:w="109"/>
        <w:gridCol w:w="109"/>
        <w:gridCol w:w="196"/>
        <w:gridCol w:w="736"/>
        <w:gridCol w:w="155"/>
      </w:tblGrid>
      <w:tr>
        <w:trPr/>
        <w:tc>
          <w:tcPr>
            <w:tcW w:w="2942"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12/27/2025</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notes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packaging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Amortizable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Indefinite-Lived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Noncontrolled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PepsiCo Common Shareholders’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Common stock, par value 1</w:t>
            </w:r>
            <w:r>
              <w:rPr>
                <w:rFonts w:ascii="Times New Roman;serif" w:hAnsi="Times New Roman;serif"/>
                <w:b w:val="false"/>
                <w:color w:val="000000"/>
                <w:sz w:val="12"/>
              </w:rPr>
              <w:t>2</w:t>
            </w:r>
            <w:r>
              <w:rPr>
                <w:rFonts w:ascii="Times New Roman;serif" w:hAnsi="Times New Roman;serif"/>
                <w:b w:val="false"/>
                <w:color w:val="000000"/>
                <w:sz w:val="18"/>
              </w:rPr>
              <w:t>/</w:t>
            </w:r>
            <w:r>
              <w:rPr>
                <w:rFonts w:ascii="Times New Roman;serif" w:hAnsi="Times New Roman;serif"/>
                <w:b w:val="false"/>
                <w:color w:val="000000"/>
                <w:sz w:val="12"/>
              </w:rPr>
              <w:t>3</w:t>
            </w:r>
            <w:r>
              <w:rPr>
                <w:rFonts w:ascii="Times New Roman;serif" w:hAnsi="Times New Roman;serif"/>
                <w:b w:val="false"/>
                <w:color w:val="000000"/>
                <w:sz w:val="18"/>
              </w:rPr>
              <w:t>¢ per share (authorized 3,600 shares; issued, net of repurchased common stock at par value: 1,364 and 1,367 shares,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72,788 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Repurchased common stock, in excess of par value (503 and 500 shares,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PepsiCo Common Shareholders’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- 4</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19"/>
          <w:u w:val="single"/>
        </w:rPr>
      </w:pPr>
      <w:r>
        <w:rPr>
          <w:rFonts w:ascii="Times New Roman;serif" w:hAnsi="Times New Roman;serif"/>
          <w:b/>
          <w:color w:val="000000"/>
          <w:sz w:val="19"/>
          <w:u w:val="single"/>
        </w:rPr>
        <w:t>Non-GAAP Measures</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 xml:space="preserve">In discussing financial results and guidance, the Company refers to the following measures which are not in accordance with U.S. Generally Accepted Accounting Principles (GAAP): organic revenue performance, core results, core constant currency results, free cash flow and free cash flow conversion. We use non-GAAP financial measures internally to make operating and strategic decisions, including the preparation of our annual operating plan, evaluation of our overall business performance and as a factor in determining compensation for certain employees. We believe presenting non-GAAP financial measures provides additional information to facilitate comparison of our historical operating results and trends in our underlying operating results and provides additional transparency on how we evaluate our business. We also believe presenting these measures allows investors to view our performance using the same measures that we use in evaluating our financial and business performance and trends. </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We consider quantitative and qualitative factors in assessing whether to adjust for the impact of items that may be significant or that could affect an understanding of our ongoing financial and business performance or trends. Examples of items for which we may make adjustments include: amounts related to mark-to-market gains or losses (non-cash); charges related to restructuring plans; charges and credits associated with acquisitions and divestitures; gains associated with divestitures; asset impairment charges (non-cash); product recall-related impact; pension and retiree medical-related amounts, including all settlement and curtailment gains and losses; charges or adjustments related to the enactment of new laws, rules or regulations, such as tax law changes; amounts related to the resolution of tax positions; tax benefits related to reorganizations of our operations; and debt redemptions, cash tender or exchange offers. See below for a description of adjustments to our GAAP financial measures included herein. </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measures presented by other companies.</w:t>
      </w:r>
    </w:p>
    <w:p>
      <w:pPr>
        <w:pStyle w:val="TextBody"/>
        <w:bidi w:val="0"/>
        <w:spacing w:lineRule="auto" w:line="288" w:before="180" w:after="120"/>
        <w:jc w:val="both"/>
        <w:rPr>
          <w:rFonts w:ascii="Times New Roman;serif" w:hAnsi="Times New Roman;serif"/>
          <w:b/>
          <w:color w:val="000000"/>
          <w:sz w:val="19"/>
          <w:u w:val="single"/>
        </w:rPr>
      </w:pPr>
      <w:r>
        <w:rPr>
          <w:rFonts w:ascii="Times New Roman;serif" w:hAnsi="Times New Roman;serif"/>
          <w:b/>
          <w:color w:val="000000"/>
          <w:sz w:val="19"/>
          <w:u w:val="single"/>
        </w:rPr>
        <w:t>Glossary</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We use the following definitions when referring to our non-GAAP financial measures: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Acquisitions and divestitures: mergers and acquisitions activity, as well as divestitures and other structural changes, including changes in ownership or control in consolidated subsidiaries and nonconsolidated equity investees.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Bottler case sales (BCS): Measure of physical beverage volume shipped to retailers and independent distributors from both PepsiCo and our independent bottlers.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Concentrate shipments and equivalents (CSE): Measure of our physical beverage volume shipments to independent bottlers.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Constant currency: Financial results assuming constant foreign currency exchange rates used for translation based on the rates in effect for the comparable prior-year period. In order to compute our constant currency results, we multiply or divide, as appropriate, our current-year U.S. dollar results by the current-year average foreign exchange rates and then multiply or divide, as appropriate, those amounts by the prior-year average foreign exchange rates. We also apply the constant currency calculation for our subsidiaries operating in highly inflationary economies.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Core: Core results are non-GAAP financial measures which exclude certain items from our financial results. For further information regarding these excluded items, refer to “Items Affecting Comparability” in “Item 2 – Management’s Discussion and Analysis of Financial Condition and Results of Operations” in our Q3 2026 Form 10-Q and in “Item 7 – Management’s Discussion and Analysis of Financial Condition and Results of Operations” in our annual report on Form 10-K for the fiscal year ended December 27, 2025. For the periods presented, core results exclude the following items:</w:t>
      </w:r>
    </w:p>
    <w:p>
      <w:pPr>
        <w:pStyle w:val="TextBody"/>
        <w:bidi w:val="0"/>
        <w:spacing w:lineRule="auto" w:line="288" w:before="180" w:after="283"/>
        <w:jc w:val="both"/>
        <w:rPr>
          <w:rFonts w:ascii="Times New Roman;serif" w:hAnsi="Times New Roman;serif"/>
          <w:b w:val="false"/>
          <w:i/>
          <w:color w:val="000000"/>
          <w:sz w:val="19"/>
        </w:rPr>
      </w:pPr>
      <w:r>
        <w:rPr>
          <w:rFonts w:ascii="Times New Roman;serif" w:hAnsi="Times New Roman;serif"/>
          <w:b w:val="false"/>
          <w:i/>
          <w:color w:val="000000"/>
          <w:sz w:val="19"/>
        </w:rPr>
        <w:t>Mark-to-market net impact</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 xml:space="preserve">Mark-to-market net gains and losses on commodity derivatives in corporate unallocated expenses. These gains and losses are subsequently reflected in segment results when the segments recognize the cost of the underlying commodity in operating profit. </w:t>
      </w:r>
    </w:p>
    <w:p>
      <w:pPr>
        <w:pStyle w:val="TextBody"/>
        <w:bidi w:val="0"/>
        <w:spacing w:lineRule="auto" w:line="288" w:before="180" w:after="283"/>
        <w:jc w:val="both"/>
        <w:rPr>
          <w:rFonts w:ascii="Times New Roman;serif" w:hAnsi="Times New Roman;serif"/>
          <w:b w:val="false"/>
          <w:i/>
          <w:color w:val="000000"/>
          <w:sz w:val="19"/>
        </w:rPr>
      </w:pPr>
      <w:r>
        <w:rPr>
          <w:rFonts w:ascii="Times New Roman;serif" w:hAnsi="Times New Roman;serif"/>
          <w:b w:val="false"/>
          <w:i/>
          <w:color w:val="000000"/>
          <w:sz w:val="19"/>
        </w:rPr>
        <w:t>Restructuring and impairment charges</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Expenses related to the multi-year productivity plan publicly announced in 2019, which was expanded and extended through the end of 2030 to take advantage of additional opportunities within the initiatives of the plan.</w:t>
      </w:r>
    </w:p>
    <w:p>
      <w:pPr>
        <w:pStyle w:val="TextBody"/>
        <w:bidi w:val="0"/>
        <w:spacing w:lineRule="auto" w:line="288" w:before="180" w:after="283"/>
        <w:jc w:val="both"/>
        <w:rPr>
          <w:rFonts w:ascii="Times New Roman;serif" w:hAnsi="Times New Roman;serif"/>
          <w:b w:val="false"/>
          <w:i/>
          <w:color w:val="000000"/>
          <w:sz w:val="19"/>
        </w:rPr>
      </w:pPr>
      <w:r>
        <w:rPr>
          <w:rFonts w:ascii="Times New Roman;serif" w:hAnsi="Times New Roman;serif"/>
          <w:b w:val="false"/>
          <w:i/>
          <w:color w:val="000000"/>
          <w:sz w:val="19"/>
        </w:rPr>
        <w:t>Acquisition and divestiture-related charges/credits</w:t>
      </w:r>
    </w:p>
    <w:p>
      <w:pPr>
        <w:pStyle w:val="TextBody"/>
        <w:bidi w:val="0"/>
        <w:spacing w:lineRule="auto" w:line="288" w:before="120" w:after="283"/>
        <w:jc w:val="both"/>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Acquisition and divestiture-related charges/credits include merger and integration charges, transaction expenses, such as consulting, advisory and other professional fees, as well as fair value adjustments to contingent consideration and to the acquired inventory included in the acquisition-date balance sheets. Merger and integration charges include distribution agreement termination fees, impairment of certain acquisition-related intangibles, employee-related costs, closing costs and other integration costs.</w:t>
      </w:r>
    </w:p>
    <w:p>
      <w:pPr>
        <w:pStyle w:val="TextBody"/>
        <w:bidi w:val="0"/>
        <w:spacing w:before="120" w:after="1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- 5</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i/>
          <w:color w:val="000000"/>
          <w:sz w:val="19"/>
        </w:rPr>
      </w:pPr>
      <w:r>
        <w:rPr>
          <w:rFonts w:ascii="Times New Roman;serif" w:hAnsi="Times New Roman;serif"/>
          <w:b w:val="false"/>
          <w:i/>
          <w:color w:val="000000"/>
          <w:sz w:val="19"/>
        </w:rPr>
        <w:t>Impairment and other charges</w:t>
      </w:r>
    </w:p>
    <w:p>
      <w:pPr>
        <w:pStyle w:val="TextBody"/>
        <w:bidi w:val="0"/>
        <w:spacing w:lineRule="auto" w:line="288" w:before="120" w:after="120"/>
        <w:jc w:val="both"/>
        <w:rPr/>
      </w:pPr>
      <w:r>
        <w:rPr>
          <w:rFonts w:ascii="Times New Roman;serif" w:hAnsi="Times New Roman;serif"/>
          <w:b w:val="false"/>
          <w:color w:val="000000"/>
          <w:sz w:val="19"/>
          <w:shd w:fill="FFFFFF" w:val="clear"/>
        </w:rPr>
        <w:t>We recognized impairment charges primarily as a result of our quantitative assessments of certain of our indefinite-lived intangible assets, related to the Rockstar and Be &amp; Cheery brands</w:t>
      </w:r>
      <w:r>
        <w:rPr>
          <w:rFonts w:ascii="Times New Roman;serif" w:hAnsi="Times New Roman;serif"/>
          <w:b w:val="false"/>
          <w:color w:val="000000"/>
          <w:sz w:val="19"/>
        </w:rPr>
        <w:t>.</w:t>
      </w:r>
    </w:p>
    <w:p>
      <w:pPr>
        <w:pStyle w:val="TextBody"/>
        <w:bidi w:val="0"/>
        <w:spacing w:lineRule="auto" w:line="288" w:before="180" w:after="283"/>
        <w:jc w:val="both"/>
        <w:rPr>
          <w:rFonts w:ascii="Times New Roman;serif" w:hAnsi="Times New Roman;serif"/>
          <w:b w:val="false"/>
          <w:i/>
          <w:color w:val="000000"/>
          <w:sz w:val="19"/>
        </w:rPr>
      </w:pPr>
      <w:r>
        <w:rPr>
          <w:rFonts w:ascii="Times New Roman;serif" w:hAnsi="Times New Roman;serif"/>
          <w:b w:val="false"/>
          <w:i/>
          <w:color w:val="000000"/>
          <w:sz w:val="19"/>
        </w:rPr>
        <w:t>Indirect and income tax impact</w:t>
      </w:r>
    </w:p>
    <w:p>
      <w:pPr>
        <w:pStyle w:val="TextBody"/>
        <w:bidi w:val="0"/>
        <w:spacing w:lineRule="auto" w:line="288" w:before="120" w:after="120"/>
        <w:jc w:val="both"/>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We recognized additional expenses related to an indirect and income tax audit settlement in our LatAm Foods segment.</w:t>
      </w:r>
    </w:p>
    <w:p>
      <w:pPr>
        <w:pStyle w:val="TextBody"/>
        <w:bidi w:val="0"/>
        <w:spacing w:lineRule="auto" w:line="288" w:before="180" w:after="283"/>
        <w:jc w:val="both"/>
        <w:rPr>
          <w:rFonts w:ascii="Times New Roman;serif" w:hAnsi="Times New Roman;serif"/>
          <w:b w:val="false"/>
          <w:i/>
          <w:color w:val="000000"/>
          <w:sz w:val="19"/>
        </w:rPr>
      </w:pPr>
      <w:r>
        <w:rPr>
          <w:rFonts w:ascii="Times New Roman;serif" w:hAnsi="Times New Roman;serif"/>
          <w:b w:val="false"/>
          <w:i/>
          <w:color w:val="000000"/>
          <w:sz w:val="19"/>
        </w:rPr>
        <w:t>Pension and retiree medical-related impact</w:t>
      </w:r>
    </w:p>
    <w:p>
      <w:pPr>
        <w:pStyle w:val="TextBody"/>
        <w:bidi w:val="0"/>
        <w:spacing w:lineRule="auto" w:line="288" w:before="120" w:after="120"/>
        <w:jc w:val="both"/>
        <w:rPr>
          <w:rFonts w:ascii="Times New Roman;serif" w:hAnsi="Times New Roman;serif"/>
          <w:b w:val="false"/>
          <w:color w:val="000000"/>
          <w:sz w:val="19"/>
        </w:rPr>
      </w:pPr>
      <w:r>
        <w:rPr>
          <w:rFonts w:ascii="Times New Roman;serif" w:hAnsi="Times New Roman;serif"/>
          <w:b w:val="false"/>
          <w:color w:val="000000"/>
          <w:sz w:val="19"/>
        </w:rPr>
        <w:t>Pension and retiree medical-related impact includes settlement charges related to lump sum distributions exceeding the total of annual service and interest costs, as well as net curtailment losses.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Effective net pricing: Reflects the year-over-year impact of discrete pricing actions, sales incentive activities and mix resulting from selling varying products in different package sizes and in different countries.</w:t>
      </w:r>
    </w:p>
    <w:p>
      <w:pPr>
        <w:pStyle w:val="TextBody"/>
        <w:bidi w:val="0"/>
        <w:spacing w:lineRule="auto" w:line="288" w:before="120" w:after="120"/>
        <w:jc w:val="both"/>
        <w:rPr>
          <w:rFonts w:ascii="Times New Roman;serif" w:hAnsi="Times New Roman;serif"/>
          <w:b w:val="false"/>
          <w:color w:val="000000"/>
          <w:sz w:val="19"/>
        </w:rPr>
      </w:pPr>
      <w:r>
        <w:rPr>
          <w:rFonts w:ascii="Times New Roman;serif" w:hAnsi="Times New Roman;serif"/>
          <w:b w:val="false"/>
          <w:color w:val="000000"/>
          <w:sz w:val="19"/>
        </w:rPr>
        <w:t xml:space="preserve">Free cash flow: Net cash from operating activities less capital spending, plus sales of property, plant and equipment. Since net capital spending (capital spending less cash proceeds from sales of property, plant and equipment) is essential to our product innovation initiatives and maintaining our operational capabilities, we believe that it is a recurring and necessary use of cash. As such, we believe investors should also consider net capital spending when evaluating our cash from operating activities. Free cash flow is used by us primarily for acquisitions and financing activities, including debt repayments, dividends and share repurchases. Free cash flow is not a measure of cash available for discretionary expenditures since we have certain non-discretionary obligations such as debt service that are not deducted from the measure. </w:t>
      </w:r>
    </w:p>
    <w:p>
      <w:pPr>
        <w:pStyle w:val="TextBody"/>
        <w:bidi w:val="0"/>
        <w:spacing w:lineRule="auto" w:line="288" w:before="120" w:after="120"/>
        <w:jc w:val="both"/>
        <w:rPr>
          <w:rFonts w:ascii="Times New Roman;serif" w:hAnsi="Times New Roman;serif"/>
          <w:b w:val="false"/>
          <w:color w:val="000000"/>
          <w:sz w:val="19"/>
        </w:rPr>
      </w:pPr>
      <w:r>
        <w:rPr>
          <w:rFonts w:ascii="Times New Roman;serif" w:hAnsi="Times New Roman;serif"/>
          <w:b w:val="false"/>
          <w:color w:val="000000"/>
          <w:sz w:val="19"/>
        </w:rPr>
        <w:t>Free cash flow conversion ratio: Free cash flow divided by core net income attributable to PepsiCo.</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 xml:space="preserve">Organic revenue performance: A measure that adjusts for the impacts of foreign exchange translation (on a constant currency basis, as defined above), acquisitions and divestitures, and every five or six years, the impact of an additional week of results. We also apply the constant currency calculation for our subsidiaries operating in highly inflationary economies. We believe organic revenue performance provides useful information in evaluating the results of our business because it adjusts for items that we believe are not indicative of ongoing performance or that we believe impact comparability with the prior year. </w:t>
      </w:r>
    </w:p>
    <w:p>
      <w:pPr>
        <w:pStyle w:val="TextBody"/>
        <w:bidi w:val="0"/>
        <w:spacing w:lineRule="auto" w:line="288" w:before="180" w:after="120"/>
        <w:jc w:val="both"/>
        <w:rPr>
          <w:rFonts w:ascii="Times New Roman;serif" w:hAnsi="Times New Roman;serif"/>
          <w:b w:val="false"/>
          <w:i/>
          <w:color w:val="000000"/>
          <w:sz w:val="19"/>
        </w:rPr>
      </w:pPr>
      <w:r>
        <w:rPr>
          <w:rFonts w:ascii="Times New Roman;serif" w:hAnsi="Times New Roman;serif"/>
          <w:b w:val="false"/>
          <w:i/>
          <w:color w:val="000000"/>
          <w:sz w:val="19"/>
        </w:rPr>
        <w:t>2026 guidance</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Our 2026 organic revenue performance guidance adjusts for the impacts of foreign exchange translation (on a constant currency basis, as defined above) and acquisitions and divestitures. Our 2026 core effective tax rate guidance, our 2026 core constant currency EPS growth guidance and our projected 2026 core net income attributable to PepsiCo (a component of free cash flow conversion ratio) exclude the mark-to-market net impact included in corporate unallocated expenses, restructuring and impairment charges and other items noted above. Our 2026 core constant currency EPS growth guidance also excludes the impact of foreign exchange translation. We are unable to reconcile our full year projected 2026 organic revenue growth to our full year projected 2026 reported net revenue growth because we are unable to predict the 2026 impact of foreign exchange due to the unpredictability of future changes in foreign exchange rates and because we are unable to predict the occurrence or impact of any acquisitions and divestitures. We are also not able to reconcile our full year projected 2026 core effective tax rate to our full year projected 2026 reported effective tax rate, our full year projected 2026 core constant currency EPS growth to our full year projected 2026 reported EPS growth and our full year projected 2026 core net income attributable to PepsiCo (a component of free cash flow conversion ratio) to our full year projected 2026 reported net income, because we are unable to predict the 2026 impact of foreign exchange or the mark-to-market net impact on commodity derivatives due to the unpredictability of future changes in foreign exchange rates and commodity prices. Therefore, we are unable to provide a reconciliation of these measures, without unreasonable effort.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- 6</w:t>
                      </w:r>
                    </w:p>
                  </w:txbxContent>
                </v:textbox>
                <w10:wrap type="none"/>
              </v:rect>
            </w:pict>
          </mc:Fallback>
        </mc:AlternateContent>
      </w:r>
    </w:p>
    <w:p>
      <w:pPr>
        <w:pStyle w:val="TextBody"/>
        <w:bidi w:val="0"/>
        <w:spacing w:lineRule="auto" w:line="288" w:before="1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Organic Revenue Performance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 and 36 Weeks Ended September 5,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unaudited)</w:t>
      </w:r>
    </w:p>
    <w:tbl>
      <w:tblPr>
        <w:tblW w:w="10205" w:type="dxa"/>
        <w:jc w:val="left"/>
        <w:tblInd w:w="0" w:type="dxa"/>
        <w:tblLayout w:type="fixed"/>
        <w:tblCellMar>
          <w:top w:w="28" w:type="dxa"/>
          <w:left w:w="28" w:type="dxa"/>
          <w:bottom w:w="28" w:type="dxa"/>
          <w:right w:w="28" w:type="dxa"/>
        </w:tblCellMar>
      </w:tblPr>
      <w:tblGrid>
        <w:gridCol w:w="730"/>
        <w:gridCol w:w="544"/>
        <w:gridCol w:w="546"/>
        <w:gridCol w:w="196"/>
        <w:gridCol w:w="556"/>
        <w:gridCol w:w="109"/>
        <w:gridCol w:w="109"/>
        <w:gridCol w:w="109"/>
        <w:gridCol w:w="109"/>
        <w:gridCol w:w="196"/>
        <w:gridCol w:w="556"/>
        <w:gridCol w:w="109"/>
        <w:gridCol w:w="109"/>
        <w:gridCol w:w="109"/>
        <w:gridCol w:w="109"/>
        <w:gridCol w:w="204"/>
        <w:gridCol w:w="579"/>
        <w:gridCol w:w="113"/>
        <w:gridCol w:w="109"/>
        <w:gridCol w:w="109"/>
        <w:gridCol w:w="109"/>
        <w:gridCol w:w="196"/>
        <w:gridCol w:w="556"/>
        <w:gridCol w:w="109"/>
        <w:gridCol w:w="109"/>
        <w:gridCol w:w="109"/>
        <w:gridCol w:w="109"/>
        <w:gridCol w:w="209"/>
        <w:gridCol w:w="594"/>
        <w:gridCol w:w="116"/>
        <w:gridCol w:w="109"/>
        <w:gridCol w:w="109"/>
        <w:gridCol w:w="109"/>
        <w:gridCol w:w="233"/>
        <w:gridCol w:w="662"/>
        <w:gridCol w:w="129"/>
        <w:gridCol w:w="109"/>
        <w:gridCol w:w="109"/>
        <w:gridCol w:w="109"/>
        <w:gridCol w:w="196"/>
        <w:gridCol w:w="646"/>
        <w:gridCol w:w="159"/>
      </w:tblGrid>
      <w:tr>
        <w:trPr/>
        <w:tc>
          <w:tcPr>
            <w:tcW w:w="73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12 Weeks Ended 9/5/2026</w:t>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Total</w:t>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Reported Net Revenue,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Impact of foreign exchange translation</w:t>
            </w:r>
            <w:r>
              <w:rPr>
                <w:color w:val="000000"/>
              </w:rPr>
              <w:t xml:space="preserve"> </w:t>
            </w:r>
            <w:r>
              <w:rPr>
                <w:rFonts w:ascii="Times New Roman;serif" w:hAnsi="Times New Roman;serif"/>
                <w:b w:val="false"/>
                <w:color w:val="000000"/>
                <w:sz w:val="11"/>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acquisitions and structural changes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Organic Revenue, non-GAAP measure</w:t>
            </w:r>
            <w:r>
              <w:rPr>
                <w:color w:val="000000"/>
              </w:rPr>
              <w:t xml:space="preserve"> </w:t>
            </w:r>
            <w:r>
              <w:rPr>
                <w:rFonts w:ascii="Times New Roman;serif" w:hAnsi="Times New Roman;serif"/>
                <w:b w:val="false"/>
                <w:color w:val="000000"/>
                <w:sz w:val="11"/>
              </w:rPr>
              <w:t>(b)</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24,668 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Prior Year Reported Net Revenue,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divestitures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Prior Year Organic Revenue, non-GAAP measure </w:t>
            </w:r>
            <w:r>
              <w:rPr>
                <w:rFonts w:ascii="Times New Roman;serif" w:hAnsi="Times New Roman;serif"/>
                <w:b w:val="false"/>
                <w:color w:val="000000"/>
                <w:sz w:val="11"/>
              </w:rPr>
              <w:t>(b)</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Reported Net Revenue % Change, GAAP measure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foreign exchange translation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acquisitions and divestitures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Organic Revenue % Change, non-GAAP measure </w:t>
            </w:r>
            <w:r>
              <w:rPr>
                <w:rFonts w:ascii="Times New Roman;serif" w:hAnsi="Times New Roman;serif"/>
                <w:b w:val="false"/>
                <w:color w:val="000000"/>
                <w:sz w:val="11"/>
              </w:rPr>
              <w:t>(c)</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Impact on % Change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Organic volume change </w:t>
            </w:r>
            <w:r>
              <w:rPr>
                <w:rFonts w:ascii="Times New Roman;serif" w:hAnsi="Times New Roman;serif"/>
                <w:b w:val="false"/>
                <w:color w:val="000000"/>
                <w:sz w:val="11"/>
              </w:rPr>
              <w:t>(d)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Effective net pricing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2"/>
        <w:gridCol w:w="473"/>
        <w:gridCol w:w="475"/>
        <w:gridCol w:w="196"/>
        <w:gridCol w:w="646"/>
        <w:gridCol w:w="109"/>
        <w:gridCol w:w="109"/>
        <w:gridCol w:w="109"/>
        <w:gridCol w:w="109"/>
        <w:gridCol w:w="196"/>
        <w:gridCol w:w="646"/>
        <w:gridCol w:w="109"/>
        <w:gridCol w:w="109"/>
        <w:gridCol w:w="109"/>
        <w:gridCol w:w="109"/>
        <w:gridCol w:w="202"/>
        <w:gridCol w:w="573"/>
        <w:gridCol w:w="112"/>
        <w:gridCol w:w="109"/>
        <w:gridCol w:w="109"/>
        <w:gridCol w:w="109"/>
        <w:gridCol w:w="196"/>
        <w:gridCol w:w="646"/>
        <w:gridCol w:w="109"/>
        <w:gridCol w:w="109"/>
        <w:gridCol w:w="109"/>
        <w:gridCol w:w="109"/>
        <w:gridCol w:w="206"/>
        <w:gridCol w:w="585"/>
        <w:gridCol w:w="114"/>
        <w:gridCol w:w="109"/>
        <w:gridCol w:w="109"/>
        <w:gridCol w:w="109"/>
        <w:gridCol w:w="224"/>
        <w:gridCol w:w="637"/>
        <w:gridCol w:w="124"/>
        <w:gridCol w:w="109"/>
        <w:gridCol w:w="109"/>
        <w:gridCol w:w="109"/>
        <w:gridCol w:w="196"/>
        <w:gridCol w:w="646"/>
        <w:gridCol w:w="161"/>
      </w:tblGrid>
      <w:tr>
        <w:trPr/>
        <w:tc>
          <w:tcPr>
            <w:tcW w:w="66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36 Weeks Ended 9/5/2026</w:t>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Total</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Reported Net Revenue,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3,748 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68,898 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Impact of foreign exchange translation</w:t>
            </w:r>
            <w:r>
              <w:rPr>
                <w:color w:val="000000"/>
              </w:rPr>
              <w:t xml:space="preserve"> </w:t>
            </w:r>
            <w:r>
              <w:rPr>
                <w:rFonts w:ascii="Times New Roman;serif" w:hAnsi="Times New Roman;serif"/>
                <w:b w:val="false"/>
                <w:color w:val="000000"/>
                <w:sz w:val="11"/>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acquisitions and structural changes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Organic Revenue, non-GAAP measure</w:t>
            </w:r>
            <w:r>
              <w:rPr>
                <w:color w:val="000000"/>
              </w:rPr>
              <w:t xml:space="preserve"> </w:t>
            </w:r>
            <w:r>
              <w:rPr>
                <w:rFonts w:ascii="Times New Roman;serif" w:hAnsi="Times New Roman;serif"/>
                <w:b w:val="false"/>
                <w:color w:val="000000"/>
                <w:sz w:val="11"/>
              </w:rPr>
              <w:t>(b)</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66,310 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Prior Year Reported Net Revenue,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64,582 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divestitures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Prior Year Organic Revenue, non-GAAP measure </w:t>
            </w:r>
            <w:r>
              <w:rPr>
                <w:rFonts w:ascii="Times New Roman;serif" w:hAnsi="Times New Roman;serif"/>
                <w:b w:val="false"/>
                <w:color w:val="000000"/>
                <w:sz w:val="11"/>
              </w:rPr>
              <w:t>(b)</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64,545 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Reported Net Revenue % Change, GAAP measure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foreign exchange translation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acquisitions and divestitures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Organic Revenue % Change, non-GAAP measure </w:t>
            </w:r>
            <w:r>
              <w:rPr>
                <w:rFonts w:ascii="Times New Roman;serif" w:hAnsi="Times New Roman;serif"/>
                <w:b w:val="false"/>
                <w:color w:val="000000"/>
                <w:sz w:val="11"/>
              </w:rPr>
              <w:t>(c)</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Impact on % Change of:</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Organic volume change </w:t>
            </w:r>
            <w:r>
              <w:rPr>
                <w:rFonts w:ascii="Times New Roman;serif" w:hAnsi="Times New Roman;serif"/>
                <w:b w:val="false"/>
                <w:color w:val="000000"/>
                <w:sz w:val="11"/>
              </w:rPr>
              <w:t>(d)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Effective net pricing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(a)Represents the adjustment needed to reflect translation of revenue using prior-year period foreign currency exchange rates.</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(b)Represents underlying amount, not in accordance with GAAP, used in the calculation of Organic Revenue Performance, which is a financial measure that is not in accordance with GAAP. See pages A-5 through A-6 for further discussion.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(c)A financial measure that is not in accordance with GAAP. See pages A-5 through A-6 for further discussion.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(d)Excludes the impact of acquisitions and divestitures. In certain instances, the impact of organic volume change on net revenue performance differs from the unit volume change disclosed in the Summary Third-Quarter 2026 Performance table and Summary Year-to-Date 2026 Performance table on pages 3 and 4 respectively, due to the impacts of product mix, nonconsolidated joint venture volume, and, for our franchise beverage businesses, temporary timing differences between BCS and CSE. We report net revenue from our franchise beverage businesses based on CSE. The volume sold by our nonconsolidated joint ventures has no direct impact on our net revenue.</w:t>
      </w:r>
    </w:p>
    <w:p>
      <w:pPr>
        <w:pStyle w:val="TextBody"/>
        <w:bidi w:val="0"/>
        <w:spacing w:before="0" w:after="0"/>
        <w:ind w:left="0" w:right="0" w:firstLine="90"/>
        <w:jc w:val="left"/>
        <w:rPr/>
      </w:pPr>
      <w:r>
        <w:rPr/>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- 7</w:t>
                      </w:r>
                    </w:p>
                  </w:txbxContent>
                </v:textbox>
                <w10:wrap type="none"/>
              </v:rect>
            </w:pict>
          </mc:Fallback>
        </mc:AlternateContent>
      </w:r>
    </w:p>
    <w:p>
      <w:pPr>
        <w:pStyle w:val="TextBody"/>
        <w:bidi w:val="0"/>
        <w:spacing w:lineRule="auto" w:line="288" w:before="1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Line Items by Segment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 Weeks Ended September 5,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unaudited)</w:t>
      </w:r>
    </w:p>
    <w:tbl>
      <w:tblPr>
        <w:tblW w:w="11643" w:type="dxa"/>
        <w:jc w:val="left"/>
        <w:tblInd w:w="0" w:type="dxa"/>
        <w:tblLayout w:type="fixed"/>
        <w:tblCellMar>
          <w:top w:w="28" w:type="dxa"/>
          <w:left w:w="28" w:type="dxa"/>
          <w:bottom w:w="28" w:type="dxa"/>
          <w:right w:w="28" w:type="dxa"/>
        </w:tblCellMar>
      </w:tblPr>
      <w:tblGrid>
        <w:gridCol w:w="887"/>
        <w:gridCol w:w="239"/>
        <w:gridCol w:w="240"/>
        <w:gridCol w:w="196"/>
        <w:gridCol w:w="556"/>
        <w:gridCol w:w="109"/>
        <w:gridCol w:w="109"/>
        <w:gridCol w:w="109"/>
        <w:gridCol w:w="109"/>
        <w:gridCol w:w="196"/>
        <w:gridCol w:w="556"/>
        <w:gridCol w:w="109"/>
        <w:gridCol w:w="109"/>
        <w:gridCol w:w="109"/>
        <w:gridCol w:w="109"/>
        <w:gridCol w:w="206"/>
        <w:gridCol w:w="444"/>
        <w:gridCol w:w="116"/>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246"/>
        <w:gridCol w:w="547"/>
        <w:gridCol w:w="138"/>
        <w:gridCol w:w="109"/>
        <w:gridCol w:w="109"/>
        <w:gridCol w:w="109"/>
        <w:gridCol w:w="196"/>
        <w:gridCol w:w="646"/>
        <w:gridCol w:w="109"/>
        <w:gridCol w:w="109"/>
        <w:gridCol w:w="109"/>
        <w:gridCol w:w="109"/>
        <w:gridCol w:w="235"/>
        <w:gridCol w:w="231"/>
        <w:gridCol w:w="377"/>
      </w:tblGrid>
      <w:tr>
        <w:trPr/>
        <w:tc>
          <w:tcPr>
            <w:tcW w:w="8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228" w:type="dxa"/>
            <w:gridSpan w:val="42"/>
            <w:tcBorders/>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PFNA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PBNA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IB 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LatAm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Asia Pacific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Unallocated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Cost of Sales,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Cost of Sales, non-GAAP measure </w:t>
            </w:r>
            <w:r>
              <w:rPr>
                <w:rFonts w:ascii="Times New Roman;serif" w:hAnsi="Times New Roman;serif"/>
                <w:b w:val="false"/>
                <w:color w:val="000000"/>
                <w:sz w:val="10"/>
              </w:rPr>
              <w:t>(a)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Margin</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Gross Profit,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Gross Profit,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Selling, General and Administrative Expenses,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Selling, General and Administrative Expenses,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Margin</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Operating Profit, non-GAAP measure </w:t>
            </w:r>
            <w:r>
              <w:rPr>
                <w:rFonts w:ascii="Times New Roman;serif" w:hAnsi="Times New Roman;serif"/>
                <w:b w:val="false"/>
                <w:color w:val="000000"/>
                <w:sz w:val="10"/>
              </w:rPr>
              <w:t>(a)</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Impact of foreign exchange translation </w:t>
            </w:r>
            <w:r>
              <w:rPr>
                <w:rFonts w:ascii="Times New Roman;serif" w:hAnsi="Times New Roman;serif"/>
                <w:b w:val="false"/>
                <w:color w:val="000000"/>
                <w:sz w:val="10"/>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Constant Currency Operating Profit,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 Change, GAAP measure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Operating Profit % Change, non-GAAP measure </w:t>
            </w:r>
            <w:r>
              <w:rPr>
                <w:rFonts w:ascii="Times New Roman;serif" w:hAnsi="Times New Roman;serif"/>
                <w:b w:val="false"/>
                <w:color w:val="000000"/>
                <w:sz w:val="10"/>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Constant Currency Operating Profit % Change, non-GAAP measure </w:t>
            </w:r>
            <w:r>
              <w:rPr>
                <w:rFonts w:ascii="Times New Roman;serif" w:hAnsi="Times New Roman;serif"/>
                <w:b w:val="false"/>
                <w:color w:val="000000"/>
                <w:sz w:val="10"/>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(a)A financial measure that is not in accordance with GAAP. See pages A-5 through A-6 for further discussion.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(b)Represents the adjustment needed to reflect translation of operating profit using prior-year period foreign currency exchange rates.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pStyle w:val="TextBody"/>
        <w:bidi w:val="0"/>
        <w:spacing w:before="120" w:after="12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- 8</w:t>
                      </w:r>
                    </w:p>
                  </w:txbxContent>
                </v:textbox>
                <w10:wrap type="none"/>
              </v:rect>
            </w:pict>
          </mc:Fallback>
        </mc:AlternateContent>
      </w:r>
    </w:p>
    <w:p>
      <w:pPr>
        <w:pStyle w:val="TextBody"/>
        <w:bidi w:val="0"/>
        <w:spacing w:lineRule="auto" w:line="288" w:before="100" w:after="283"/>
        <w:ind w:left="0" w:right="0" w:firstLine="9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Line Items by Segment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 Weeks Ended September 6,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unaudited)</w:t>
      </w:r>
    </w:p>
    <w:tbl>
      <w:tblPr>
        <w:tblW w:w="11643" w:type="dxa"/>
        <w:jc w:val="left"/>
        <w:tblInd w:w="0" w:type="dxa"/>
        <w:tblLayout w:type="fixed"/>
        <w:tblCellMar>
          <w:top w:w="28" w:type="dxa"/>
          <w:left w:w="28" w:type="dxa"/>
          <w:bottom w:w="28" w:type="dxa"/>
          <w:right w:w="28" w:type="dxa"/>
        </w:tblCellMar>
      </w:tblPr>
      <w:tblGrid>
        <w:gridCol w:w="887"/>
        <w:gridCol w:w="239"/>
        <w:gridCol w:w="240"/>
        <w:gridCol w:w="196"/>
        <w:gridCol w:w="556"/>
        <w:gridCol w:w="109"/>
        <w:gridCol w:w="109"/>
        <w:gridCol w:w="109"/>
        <w:gridCol w:w="109"/>
        <w:gridCol w:w="196"/>
        <w:gridCol w:w="556"/>
        <w:gridCol w:w="109"/>
        <w:gridCol w:w="109"/>
        <w:gridCol w:w="109"/>
        <w:gridCol w:w="109"/>
        <w:gridCol w:w="206"/>
        <w:gridCol w:w="444"/>
        <w:gridCol w:w="116"/>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246"/>
        <w:gridCol w:w="547"/>
        <w:gridCol w:w="138"/>
        <w:gridCol w:w="109"/>
        <w:gridCol w:w="109"/>
        <w:gridCol w:w="109"/>
        <w:gridCol w:w="196"/>
        <w:gridCol w:w="646"/>
        <w:gridCol w:w="109"/>
        <w:gridCol w:w="109"/>
        <w:gridCol w:w="109"/>
        <w:gridCol w:w="109"/>
        <w:gridCol w:w="235"/>
        <w:gridCol w:w="231"/>
        <w:gridCol w:w="377"/>
      </w:tblGrid>
      <w:tr>
        <w:trPr/>
        <w:tc>
          <w:tcPr>
            <w:tcW w:w="8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PFNA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PBNA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IB 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LatAm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Asia Pacific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Unallocated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Cost of Sales,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Cost of Sales,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Margin</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Gross Profit,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Gross Profit,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Selling, General and Administrative Expenses,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Indirect and income tax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Selling, General and Administrative Expenses,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Impairment of Intangible Assets,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Impairment of Intangible Assets, non-GAAP measure </w:t>
            </w:r>
            <w:r>
              <w:rPr>
                <w:rFonts w:ascii="Times New Roman;serif" w:hAnsi="Times New Roman;serif"/>
                <w:b w:val="false"/>
                <w:color w:val="000000"/>
                <w:sz w:val="10"/>
              </w:rPr>
              <w:t>(a)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Margin</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Indirect and income tax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Operating Profit, non-GAAP measure </w:t>
            </w:r>
            <w:r>
              <w:rPr>
                <w:rFonts w:ascii="Times New Roman;serif" w:hAnsi="Times New Roman;serif"/>
                <w:b w:val="false"/>
                <w:color w:val="000000"/>
                <w:sz w:val="10"/>
              </w:rPr>
              <w:t>(a)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(a)A financial measure that is not in accordance with GAAP. See pages A-5 through A-6 for further discussion.</w:t>
      </w:r>
    </w:p>
    <w:p>
      <w:pPr>
        <w:pStyle w:val="TextBody"/>
        <w:bidi w:val="0"/>
        <w:spacing w:before="100" w:after="283"/>
        <w:ind w:left="0" w:right="0" w:firstLine="90"/>
        <w:jc w:val="both"/>
        <w:rPr/>
      </w:pPr>
      <w:r>
        <w:rPr/>
      </w:r>
    </w:p>
    <w:p>
      <w:pPr>
        <w:pStyle w:val="TextBody"/>
        <w:bidi w:val="0"/>
        <w:spacing w:lineRule="auto" w:line="288"/>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pStyle w:val="TextBody"/>
        <w:bidi w:val="0"/>
        <w:spacing w:before="120" w:after="12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- 9</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Line Items by Segment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 Weeks Ended September 5,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unaudited)</w:t>
      </w:r>
    </w:p>
    <w:tbl>
      <w:tblPr>
        <w:tblW w:w="12053" w:type="dxa"/>
        <w:jc w:val="left"/>
        <w:tblInd w:w="0" w:type="dxa"/>
        <w:tblLayout w:type="fixed"/>
        <w:tblCellMar>
          <w:top w:w="28" w:type="dxa"/>
          <w:left w:w="28" w:type="dxa"/>
          <w:bottom w:w="28" w:type="dxa"/>
          <w:right w:w="28" w:type="dxa"/>
        </w:tblCellMar>
      </w:tblPr>
      <w:tblGrid>
        <w:gridCol w:w="887"/>
        <w:gridCol w:w="239"/>
        <w:gridCol w:w="240"/>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26"/>
        <w:gridCol w:w="109"/>
        <w:gridCol w:w="109"/>
        <w:gridCol w:w="109"/>
        <w:gridCol w:w="109"/>
        <w:gridCol w:w="196"/>
        <w:gridCol w:w="646"/>
        <w:gridCol w:w="109"/>
        <w:gridCol w:w="109"/>
        <w:gridCol w:w="109"/>
        <w:gridCol w:w="109"/>
        <w:gridCol w:w="235"/>
        <w:gridCol w:w="231"/>
        <w:gridCol w:w="377"/>
      </w:tblGrid>
      <w:tr>
        <w:trPr/>
        <w:tc>
          <w:tcPr>
            <w:tcW w:w="8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458" w:type="dxa"/>
            <w:gridSpan w:val="42"/>
            <w:tcBorders/>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PFNA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PBNA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IB 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LatAm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Asia Pacific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Unallocated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Cost of Sales,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Cost of Sales, non-GAAP measure </w:t>
            </w:r>
            <w:r>
              <w:rPr>
                <w:rFonts w:ascii="Times New Roman;serif" w:hAnsi="Times New Roman;serif"/>
                <w:b w:val="false"/>
                <w:color w:val="000000"/>
                <w:sz w:val="10"/>
              </w:rPr>
              <w:t>(a)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Margin</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Gross Profit,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Gross Profit,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Selling, General and Administrative Expenses,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Selling, General and Administrative Expenses,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Margin</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Operating Profit, non-GAAP measure </w:t>
            </w:r>
            <w:r>
              <w:rPr>
                <w:rFonts w:ascii="Times New Roman;serif" w:hAnsi="Times New Roman;serif"/>
                <w:b w:val="false"/>
                <w:color w:val="000000"/>
                <w:sz w:val="10"/>
              </w:rPr>
              <w:t>(a)</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Impact of foreign exchange translation </w:t>
            </w:r>
            <w:r>
              <w:rPr>
                <w:rFonts w:ascii="Times New Roman;serif" w:hAnsi="Times New Roman;serif"/>
                <w:b w:val="false"/>
                <w:color w:val="000000"/>
                <w:sz w:val="10"/>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Constant Currency Operating Profit,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 Change, GAAP measure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Operating Profit % Change, non-GAAP measure </w:t>
            </w:r>
            <w:r>
              <w:rPr>
                <w:rFonts w:ascii="Times New Roman;serif" w:hAnsi="Times New Roman;serif"/>
                <w:b w:val="false"/>
                <w:color w:val="000000"/>
                <w:sz w:val="10"/>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Constant Currency Operating Profit % Change, non-GAAP measure </w:t>
            </w:r>
            <w:r>
              <w:rPr>
                <w:rFonts w:ascii="Times New Roman;serif" w:hAnsi="Times New Roman;serif"/>
                <w:b w:val="false"/>
                <w:color w:val="000000"/>
                <w:sz w:val="10"/>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(a)A financial measure that is not in accordance with GAAP. See pages A-5 through A-6 for further discussion.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(b)Represents the adjustment needed to reflect translation of operating profit using prior-year period foreign currency exchange rates.</w:t>
      </w:r>
    </w:p>
    <w:p>
      <w:pPr>
        <w:pStyle w:val="TextBody"/>
        <w:bidi w:val="0"/>
        <w:spacing w:lineRule="auto" w:line="288" w:before="180" w:after="120"/>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pStyle w:val="TextBody"/>
        <w:bidi w:val="0"/>
        <w:spacing w:before="120" w:after="12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- 10</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Line Items by Segment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 Weeks Ended September 6,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unaudited)</w:t>
      </w:r>
    </w:p>
    <w:tbl>
      <w:tblPr>
        <w:tblW w:w="12053" w:type="dxa"/>
        <w:jc w:val="left"/>
        <w:tblInd w:w="0" w:type="dxa"/>
        <w:tblLayout w:type="fixed"/>
        <w:tblCellMar>
          <w:top w:w="28" w:type="dxa"/>
          <w:left w:w="28" w:type="dxa"/>
          <w:bottom w:w="28" w:type="dxa"/>
          <w:right w:w="28" w:type="dxa"/>
        </w:tblCellMar>
      </w:tblPr>
      <w:tblGrid>
        <w:gridCol w:w="887"/>
        <w:gridCol w:w="239"/>
        <w:gridCol w:w="240"/>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26"/>
        <w:gridCol w:w="109"/>
        <w:gridCol w:w="109"/>
        <w:gridCol w:w="109"/>
        <w:gridCol w:w="109"/>
        <w:gridCol w:w="196"/>
        <w:gridCol w:w="646"/>
        <w:gridCol w:w="109"/>
        <w:gridCol w:w="109"/>
        <w:gridCol w:w="109"/>
        <w:gridCol w:w="109"/>
        <w:gridCol w:w="235"/>
        <w:gridCol w:w="231"/>
        <w:gridCol w:w="377"/>
      </w:tblGrid>
      <w:tr>
        <w:trPr/>
        <w:tc>
          <w:tcPr>
            <w:tcW w:w="8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PFNA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PBNA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IB 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LatAm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Asia Pacific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Unallocated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Cost of Sales,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Cost of Sales,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Margin</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Gross Profit,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Gross Profit,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Selling, General and Administrative Expenses,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Indirect and income tax impact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Selling, General and Administrative Expenses,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Impairment of Intangible Assets,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Impairment of Intangible Assets, non-GAAP measure </w:t>
            </w:r>
            <w:r>
              <w:rPr>
                <w:rFonts w:ascii="Times New Roman;serif" w:hAnsi="Times New Roman;serif"/>
                <w:b w:val="false"/>
                <w:color w:val="000000"/>
                <w:sz w:val="10"/>
              </w:rPr>
              <w:t>(a)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Margin</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Indirect and income tax impact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Operating Profit, non-GAAP measure </w:t>
            </w:r>
            <w:r>
              <w:rPr>
                <w:rFonts w:ascii="Times New Roman;serif" w:hAnsi="Times New Roman;serif"/>
                <w:b w:val="false"/>
                <w:color w:val="000000"/>
                <w:sz w:val="10"/>
              </w:rPr>
              <w:t>(a)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(a)A financial measure that is not in accordance with GAAP. See pages A-5 through A-6 for further discussion.</w:t>
      </w:r>
    </w:p>
    <w:p>
      <w:pPr>
        <w:pStyle w:val="TextBody"/>
        <w:bidi w:val="0"/>
        <w:spacing w:before="100" w:after="283"/>
        <w:ind w:left="0" w:right="0" w:firstLine="90"/>
        <w:jc w:val="both"/>
        <w:rPr/>
      </w:pPr>
      <w:r>
        <w:rPr/>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Line Items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 Weeks Ended September 5, 2026 and September 6,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unaudited)</w:t>
      </w:r>
    </w:p>
    <w:tbl>
      <w:tblPr>
        <w:tblW w:w="10205" w:type="dxa"/>
        <w:jc w:val="center"/>
        <w:tblInd w:w="0" w:type="dxa"/>
        <w:tblLayout w:type="fixed"/>
        <w:tblCellMar>
          <w:top w:w="28" w:type="dxa"/>
          <w:left w:w="28" w:type="dxa"/>
          <w:bottom w:w="28" w:type="dxa"/>
          <w:right w:w="28" w:type="dxa"/>
        </w:tblCellMar>
      </w:tblPr>
      <w:tblGrid>
        <w:gridCol w:w="960"/>
        <w:gridCol w:w="447"/>
        <w:gridCol w:w="449"/>
        <w:gridCol w:w="109"/>
        <w:gridCol w:w="109"/>
        <w:gridCol w:w="109"/>
        <w:gridCol w:w="382"/>
        <w:gridCol w:w="963"/>
        <w:gridCol w:w="212"/>
        <w:gridCol w:w="109"/>
        <w:gridCol w:w="109"/>
        <w:gridCol w:w="109"/>
        <w:gridCol w:w="291"/>
        <w:gridCol w:w="627"/>
        <w:gridCol w:w="164"/>
        <w:gridCol w:w="109"/>
        <w:gridCol w:w="109"/>
        <w:gridCol w:w="109"/>
        <w:gridCol w:w="109"/>
        <w:gridCol w:w="109"/>
        <w:gridCol w:w="281"/>
        <w:gridCol w:w="800"/>
        <w:gridCol w:w="158"/>
        <w:gridCol w:w="109"/>
        <w:gridCol w:w="109"/>
        <w:gridCol w:w="109"/>
        <w:gridCol w:w="420"/>
        <w:gridCol w:w="1000"/>
        <w:gridCol w:w="235"/>
        <w:gridCol w:w="109"/>
        <w:gridCol w:w="109"/>
        <w:gridCol w:w="109"/>
        <w:gridCol w:w="311"/>
        <w:gridCol w:w="187"/>
        <w:gridCol w:w="465"/>
      </w:tblGrid>
      <w:tr>
        <w:trPr/>
        <w:tc>
          <w:tcPr>
            <w:tcW w:w="9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2"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Weeks Ended 9/5/2026</w:t>
            </w:r>
          </w:p>
        </w:tc>
        <w:tc>
          <w:tcPr>
            <w:tcW w:w="1290" w:type="dxa"/>
            <w:gridSpan w:val="6"/>
            <w:tcBorders/>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pension and retiree medical benefits (expense)/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Provision for income taxes</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 per common share - diluted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val="false"/>
                <w:color w:val="000000"/>
                <w:sz w:val="18"/>
              </w:rPr>
              <w:t>Effective tax rate</w:t>
            </w:r>
            <w:r>
              <w:rPr>
                <w:rFonts w:ascii="Times New Roman;serif" w:hAnsi="Times New Roman;serif"/>
                <w:b w:val="false"/>
                <w:color w:val="000000"/>
                <w:sz w:val="12"/>
              </w:rPr>
              <w:t>(b)</w:t>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Items Affecting Comparability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Mark-to-market net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divestiture-related charges/credits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retiree medical-related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Core, non-GAAP measure </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963"/>
        <w:gridCol w:w="453"/>
        <w:gridCol w:w="455"/>
        <w:gridCol w:w="109"/>
        <w:gridCol w:w="109"/>
        <w:gridCol w:w="109"/>
        <w:gridCol w:w="109"/>
        <w:gridCol w:w="401"/>
        <w:gridCol w:w="679"/>
        <w:gridCol w:w="225"/>
        <w:gridCol w:w="109"/>
        <w:gridCol w:w="109"/>
        <w:gridCol w:w="109"/>
        <w:gridCol w:w="293"/>
        <w:gridCol w:w="632"/>
        <w:gridCol w:w="165"/>
        <w:gridCol w:w="109"/>
        <w:gridCol w:w="109"/>
        <w:gridCol w:w="109"/>
        <w:gridCol w:w="109"/>
        <w:gridCol w:w="109"/>
        <w:gridCol w:w="283"/>
        <w:gridCol w:w="807"/>
        <w:gridCol w:w="159"/>
        <w:gridCol w:w="109"/>
        <w:gridCol w:w="109"/>
        <w:gridCol w:w="109"/>
        <w:gridCol w:w="426"/>
        <w:gridCol w:w="1014"/>
        <w:gridCol w:w="238"/>
        <w:gridCol w:w="109"/>
        <w:gridCol w:w="109"/>
        <w:gridCol w:w="109"/>
        <w:gridCol w:w="304"/>
        <w:gridCol w:w="196"/>
        <w:gridCol w:w="550"/>
      </w:tblGrid>
      <w:tr>
        <w:trPr/>
        <w:tc>
          <w:tcPr>
            <w:tcW w:w="96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1"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Weeks Ended 9/6/2025</w:t>
            </w:r>
          </w:p>
        </w:tc>
        <w:tc>
          <w:tcPr>
            <w:tcW w:w="1377" w:type="dxa"/>
            <w:gridSpan w:val="6"/>
            <w:tcBorders/>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pension and retiree medical benefits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Provision for income taxes</w:t>
            </w:r>
            <w:r>
              <w:rPr>
                <w:rFonts w:ascii="Times New Roman;serif" w:hAnsi="Times New Roman;serif"/>
                <w:b w:val="false"/>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 per common share - diluted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Effective tax rate</w:t>
            </w:r>
            <w:r>
              <w:rPr>
                <w:rFonts w:ascii="Times New Roman;serif" w:hAnsi="Times New Roman;serif"/>
                <w:b w:val="false"/>
                <w:color w:val="000000"/>
                <w:sz w:val="12"/>
              </w:rPr>
              <w:t>(b)</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Items Affecting Comparability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Mark-to-market net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5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divestiture-related charges/credits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5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Indirect and income tax impact </w:t>
            </w:r>
            <w:r>
              <w:rPr>
                <w:rFonts w:ascii="Times New Roman;serif" w:hAnsi="Times New Roman;serif"/>
                <w:b w:val="false"/>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retiree medical-related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Core, non-GAAP measure </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(a)Provision for income taxes is the expected tax charge/benefit on the underlying item based on the tax laws and income tax rates applicable to the underlying item in its corresponding tax jurisdiction.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(b)The impact of items affecting comparability on our effective tax rate represents the difference in the effective tax rate resulting from a higher or lower tax rate as applicable to the items affecting comparability.</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(c)A financial measure that is not in accordance with GAAP. See pages A-5 through A-6 for further discussion.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(d)Provision for income taxes reflects the unfavorable impact of an income tax audit settlement in our LatAm Foods segment.</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pStyle w:val="TextBody"/>
        <w:bidi w:val="0"/>
        <w:spacing w:before="120" w:after="12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Line Items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 Weeks Ended September 5, 2026 and September 6,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unaudited)</w:t>
      </w:r>
    </w:p>
    <w:tbl>
      <w:tblPr>
        <w:tblW w:w="10205" w:type="dxa"/>
        <w:jc w:val="center"/>
        <w:tblInd w:w="0" w:type="dxa"/>
        <w:tblLayout w:type="fixed"/>
        <w:tblCellMar>
          <w:top w:w="28" w:type="dxa"/>
          <w:left w:w="28" w:type="dxa"/>
          <w:bottom w:w="28" w:type="dxa"/>
          <w:right w:w="28" w:type="dxa"/>
        </w:tblCellMar>
      </w:tblPr>
      <w:tblGrid>
        <w:gridCol w:w="966"/>
        <w:gridCol w:w="460"/>
        <w:gridCol w:w="461"/>
        <w:gridCol w:w="109"/>
        <w:gridCol w:w="109"/>
        <w:gridCol w:w="109"/>
        <w:gridCol w:w="371"/>
        <w:gridCol w:w="798"/>
        <w:gridCol w:w="206"/>
        <w:gridCol w:w="109"/>
        <w:gridCol w:w="109"/>
        <w:gridCol w:w="109"/>
        <w:gridCol w:w="262"/>
        <w:gridCol w:w="744"/>
        <w:gridCol w:w="145"/>
        <w:gridCol w:w="109"/>
        <w:gridCol w:w="109"/>
        <w:gridCol w:w="109"/>
        <w:gridCol w:w="109"/>
        <w:gridCol w:w="109"/>
        <w:gridCol w:w="286"/>
        <w:gridCol w:w="815"/>
        <w:gridCol w:w="160"/>
        <w:gridCol w:w="109"/>
        <w:gridCol w:w="109"/>
        <w:gridCol w:w="109"/>
        <w:gridCol w:w="433"/>
        <w:gridCol w:w="1030"/>
        <w:gridCol w:w="242"/>
        <w:gridCol w:w="109"/>
        <w:gridCol w:w="109"/>
        <w:gridCol w:w="109"/>
        <w:gridCol w:w="311"/>
        <w:gridCol w:w="189"/>
        <w:gridCol w:w="473"/>
      </w:tblGrid>
      <w:tr>
        <w:trPr/>
        <w:tc>
          <w:tcPr>
            <w:tcW w:w="96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1"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 Weeks Ended 9/5/2026</w:t>
            </w:r>
          </w:p>
        </w:tc>
        <w:tc>
          <w:tcPr>
            <w:tcW w:w="1300" w:type="dxa"/>
            <w:gridSpan w:val="6"/>
            <w:tcBorders/>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pension and retiree medical benefits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Provision for income taxes</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 per common share - diluted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val="false"/>
                <w:color w:val="000000"/>
                <w:sz w:val="18"/>
              </w:rPr>
              <w:t>Effective tax rate</w:t>
            </w:r>
            <w:r>
              <w:rPr>
                <w:rFonts w:ascii="Times New Roman;serif" w:hAnsi="Times New Roman;serif"/>
                <w:b w:val="false"/>
                <w:color w:val="000000"/>
                <w:sz w:val="12"/>
              </w:rPr>
              <w:t>(b)</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Items Affecting Comparability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Mark-to-market net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divestiture-related charges/credits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retiree medical-related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Core, non-GAAP measure </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959"/>
        <w:gridCol w:w="446"/>
        <w:gridCol w:w="447"/>
        <w:gridCol w:w="109"/>
        <w:gridCol w:w="109"/>
        <w:gridCol w:w="109"/>
        <w:gridCol w:w="109"/>
        <w:gridCol w:w="359"/>
        <w:gridCol w:w="772"/>
        <w:gridCol w:w="200"/>
        <w:gridCol w:w="109"/>
        <w:gridCol w:w="109"/>
        <w:gridCol w:w="109"/>
        <w:gridCol w:w="257"/>
        <w:gridCol w:w="731"/>
        <w:gridCol w:w="143"/>
        <w:gridCol w:w="109"/>
        <w:gridCol w:w="109"/>
        <w:gridCol w:w="109"/>
        <w:gridCol w:w="109"/>
        <w:gridCol w:w="109"/>
        <w:gridCol w:w="280"/>
        <w:gridCol w:w="798"/>
        <w:gridCol w:w="157"/>
        <w:gridCol w:w="109"/>
        <w:gridCol w:w="109"/>
        <w:gridCol w:w="109"/>
        <w:gridCol w:w="419"/>
        <w:gridCol w:w="996"/>
        <w:gridCol w:w="234"/>
        <w:gridCol w:w="109"/>
        <w:gridCol w:w="109"/>
        <w:gridCol w:w="109"/>
        <w:gridCol w:w="304"/>
        <w:gridCol w:w="194"/>
        <w:gridCol w:w="547"/>
      </w:tblGrid>
      <w:tr>
        <w:trPr/>
        <w:tc>
          <w:tcPr>
            <w:tcW w:w="95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5"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 Weeks Ended 9/6/2025</w:t>
            </w:r>
          </w:p>
        </w:tc>
        <w:tc>
          <w:tcPr>
            <w:tcW w:w="1372" w:type="dxa"/>
            <w:gridSpan w:val="6"/>
            <w:tcBorders/>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pension and retiree medical benefits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Provision for income taxes</w:t>
            </w:r>
            <w:r>
              <w:rPr>
                <w:rFonts w:ascii="Times New Roman;serif" w:hAnsi="Times New Roman;serif"/>
                <w:b w:val="false"/>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 per common share - diluted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Effective tax rate</w:t>
            </w:r>
            <w:r>
              <w:rPr>
                <w:rFonts w:ascii="Times New Roman;serif" w:hAnsi="Times New Roman;serif"/>
                <w:b w:val="false"/>
                <w:color w:val="000000"/>
                <w:sz w:val="12"/>
              </w:rPr>
              <w:t>(b)</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Items Affecting Comparability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Mark-to-market net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54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divestiture-related charges/credits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4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Indirect and income tax impact </w:t>
            </w:r>
            <w:r>
              <w:rPr>
                <w:rFonts w:ascii="Times New Roman;serif" w:hAnsi="Times New Roman;serif"/>
                <w:b w:val="false"/>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retiree medical-related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Core, non-GAAP measure </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(a)Provision for income taxes is the expected tax charge/benefit on the underlying item based on the tax laws and income tax rates applicable to the underlying item in its corresponding tax jurisdiction.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(b)The impact of items affecting comparability on our effective tax rate represents the difference in the effective tax rate resulting from a higher or lower tax rate as applicable to the items affecting comparability.</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(c)A financial measure that is not in accordance with GAAP. See pages A-5 through A-6 for further discussion.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(d)Provision for income taxes reflects the unfavorable impact of an income tax audit settlement in our LatAm Foods segment.</w:t>
      </w:r>
    </w:p>
    <w:p>
      <w:pPr>
        <w:pStyle w:val="TextBody"/>
        <w:bidi w:val="0"/>
        <w:spacing w:before="0" w:after="0"/>
        <w:ind w:left="0" w:right="0" w:firstLine="90"/>
        <w:jc w:val="both"/>
        <w:rPr/>
      </w:pPr>
      <w:r>
        <w:rPr/>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- 13</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Statements in this communication that are “forward-looking statements,” including our 2026 guidance and outlook are based on currently available information, operating plans and projections about future events and trends. Terminology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are intended to identify forward-looking statements, although not all forward-looking statements contain such terms. Forward-looking statements inherently involve risks and uncertainties that could cause actual results to differ materially from those predicted in such forward-looking statements. Such risks and uncertainties include, but are not limited to: future demand for PepsiCo’s products; damage to PepsiCo’s reputation or brand image; product recalls or other issues or concerns with respect to product quality and safety; PepsiCo’s ability to compete effectively; PepsiCo’s ability to attract, develop and maintain a highly skilled workforce or effectively manage changes in our workforce; water scarcity; changes in the retail landscape or in sales to any key customer; disruption of PepsiCo’s manufacturing operations or supply chain, including increased commodity, packaging, transportation, labor and other input costs; political, social or geopolitical conditions in the markets where PepsiCo’s products are made, manufactured, distributed or sold; PepsiCo’s ability to grow its business in developing and emerging markets; changes in economic conditions in the countries in which PepsiCo operates; changes in tariffs and global trade relations; future cyber incidents and other disruptions to our information systems; failure to successfully complete or manage strategic transactions; PepsiCo’s reliance on third-party service providers and enterprise-wide systems; climate change or measures to address climate change and other sustainability matters; strikes or work stoppages; failure to realize benefits from PepsiCo’s productivity initiatives or organizational restructurings; deterioration in estimates and underlying assumptions regarding future performance of our business or investments that can result in impairment charges; fluctuations or other changes in exchange rates; any downgrade or potential downgrade of PepsiCo’s credit ratings; imposition or proposed imposition of new or increased taxes aimed at PepsiCo’s products; imposition of limitations on the marketing or sale of PepsiCo’s products; changes in laws and regulations related to the use or disposal of plastics or other packaging materials; failure to comply with personal data protection and privacy laws; increase in income tax rates, changes in income tax laws or disagreements with tax authorities; failure to adequately protect PepsiCo’s intellectual property rights or infringement on intellectual property rights of others; failure to comply with applicable laws and regulations; and potential liabilities and costs from litigation, claims, legal or regulatory proceedings, inquiries or investigations.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these and other factors that could cause PepsiCo’s actual results to materially differ from those set forth herein, please see PepsiCo’s filings with the SEC, including its most recent annual report on Form 10-K and subsequent reports on Forms 10-Q and 8-K. Investors are cautioned not to place undue reliance on any such forward-looking statements, which speak only as of the date they are made. We undertake no obligation to update any forward-looking statement, whether as a result of new information, future events or otherwise.</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8241</Words>
  <Characters>45242</Characters>
  <CharactersWithSpaces>52260</CharactersWithSpaces>
  <Paragraphs>2788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