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80" w:after="283"/>
        <w:jc w:val="center"/>
        <w:rPr>
          <w:rFonts w:ascii="Times New Roman;serif" w:hAnsi="Times New Roman;serif"/>
          <w:b/>
          <w:color w:val="000000"/>
          <w:sz w:val="36"/>
        </w:rPr>
      </w:pPr>
      <w:r>
        <w:rPr>
          <w:rFonts w:ascii="Times New Roman;serif" w:hAnsi="Times New Roman;serif"/>
          <w:b/>
          <w:color w:val="000000"/>
          <w:sz w:val="36"/>
        </w:rPr>
        <w:t>UNITED STATES SECURITIES AND EXCHANGE</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 w:after="283"/>
        <w:jc w:val="center"/>
        <w:rPr>
          <w:rFonts w:ascii="Times New Roman;serif" w:hAnsi="Times New Roman;serif"/>
          <w:b/>
          <w:color w:val="000000"/>
          <w:sz w:val="36"/>
        </w:rPr>
      </w:pPr>
      <w:r>
        <w:rPr>
          <w:rFonts w:ascii="Times New Roman;serif" w:hAnsi="Times New Roman;serif"/>
          <w:b/>
          <w:color w:val="000000"/>
          <w:sz w:val="36"/>
        </w:rPr>
        <w:t>FORM 11-K</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ANNUAL REPORT PURSUANT TO SECTION 15(d) OF THE SECURITIES EXCHANGE ACT OF 1934</w:t>
            </w:r>
          </w:p>
        </w:tc>
      </w:tr>
    </w:tbl>
    <w:p>
      <w:pPr>
        <w:pStyle w:val="TextBody"/>
        <w:bidi w:val="0"/>
        <w:spacing w:lineRule="auto" w:line="288" w:before="0" w:after="0"/>
        <w:ind w:left="0" w:right="0" w:firstLine="630"/>
        <w:jc w:val="center"/>
        <w:rPr>
          <w:rFonts w:ascii="Times New Roman;serif" w:hAnsi="Times New Roman;serif"/>
          <w:b/>
          <w:color w:val="000000"/>
          <w:sz w:val="24"/>
        </w:rPr>
      </w:pPr>
      <w:r>
        <w:rPr>
          <w:rFonts w:ascii="Times New Roman;serif" w:hAnsi="Times New Roman;serif"/>
          <w:b/>
          <w:color w:val="000000"/>
          <w:sz w:val="24"/>
        </w:rPr>
        <w:t>For the fiscal year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15(d) OF THE SECURITIES EXCHANGE ACT OF 1934</w:t>
            </w:r>
          </w:p>
        </w:tc>
      </w:tr>
    </w:tbl>
    <w:p>
      <w:pPr>
        <w:pStyle w:val="TextBody"/>
        <w:bidi w:val="0"/>
        <w:spacing w:lineRule="auto" w:line="288" w:before="0" w:after="0"/>
        <w:ind w:left="0" w:right="0" w:firstLine="630"/>
        <w:jc w:val="left"/>
        <w:rPr/>
      </w:pPr>
      <w:r>
        <w:rPr>
          <w:rFonts w:ascii="Times New Roman;serif" w:hAnsi="Times New Roman;serif"/>
          <w:b/>
          <w:color w:val="000000"/>
          <w:sz w:val="24"/>
        </w:rPr>
        <w:t>For the transition period from</w:t>
      </w:r>
      <w:r>
        <w:rPr>
          <w:color w:val="000000"/>
          <w:u w:val="single"/>
        </w:rPr>
        <w:t>            </w:t>
      </w:r>
      <w:r>
        <w:rPr>
          <w:rFonts w:ascii="Times New Roman;serif" w:hAnsi="Times New Roman;serif"/>
          <w:b/>
          <w:color w:val="000000"/>
          <w:sz w:val="24"/>
        </w:rPr>
        <w:t>to</w:t>
      </w:r>
      <w:r>
        <w:rPr>
          <w:color w:val="000000"/>
          <w:u w:val="single"/>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Commission file number 1-1183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drawing>
          <wp:inline distT="0" distB="0" distL="0" distR="0">
            <wp:extent cx="21526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657225"/>
                    </a:xfrm>
                    <a:prstGeom prst="rect">
                      <a:avLst/>
                    </a:prstGeom>
                  </pic:spPr>
                </pic:pic>
              </a:graphicData>
            </a:graphic>
          </wp:inline>
        </w:drawing>
      </w:r>
      <w:bookmarkStart w:id="0" w:name="i-1"/>
      <w:bookmarkEnd w:id="0"/>
      <w:r>
        <w:rPr>
          <w:color w:val="000000"/>
        </w:rPr>
        <w:t> </w:t>
      </w:r>
    </w:p>
    <w:p>
      <w:pPr>
        <w:pStyle w:val="TextBody"/>
        <w:bidi w:val="0"/>
        <w:spacing w:lineRule="auto" w:line="288" w:before="0" w:after="0"/>
        <w:jc w:val="center"/>
        <w:rPr>
          <w:color w:val="000000"/>
        </w:rPr>
      </w:pPr>
      <w:r>
        <w:rPr>
          <w:color w:val="000000"/>
        </w:rPr>
        <w:t> </w:t>
      </w:r>
    </w:p>
    <w:tbl>
      <w:tblPr>
        <w:tblW w:w="9882" w:type="dxa"/>
        <w:jc w:val="center"/>
        <w:tblInd w:w="0" w:type="dxa"/>
        <w:tblLayout w:type="fixed"/>
        <w:tblCellMar>
          <w:top w:w="28" w:type="dxa"/>
          <w:left w:w="28" w:type="dxa"/>
          <w:bottom w:w="28" w:type="dxa"/>
          <w:right w:w="28" w:type="dxa"/>
        </w:tblCellMar>
      </w:tblPr>
      <w:tblGrid>
        <w:gridCol w:w="130"/>
        <w:gridCol w:w="115"/>
        <w:gridCol w:w="116"/>
        <w:gridCol w:w="3046"/>
        <w:gridCol w:w="3046"/>
        <w:gridCol w:w="3057"/>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Full title of the plan and the address of the plan, if different from that of the issuer named below: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PepsiCo Savings Plan</w:t>
      </w:r>
    </w:p>
    <w:tbl>
      <w:tblPr>
        <w:tblW w:w="10205" w:type="dxa"/>
        <w:jc w:val="center"/>
        <w:tblInd w:w="0" w:type="dxa"/>
        <w:tblLayout w:type="fixed"/>
        <w:tblCellMar>
          <w:top w:w="28" w:type="dxa"/>
          <w:left w:w="28" w:type="dxa"/>
          <w:bottom w:w="28" w:type="dxa"/>
          <w:right w:w="28" w:type="dxa"/>
        </w:tblCellMar>
      </w:tblPr>
      <w:tblGrid>
        <w:gridCol w:w="125"/>
        <w:gridCol w:w="110"/>
        <w:gridCol w:w="111"/>
        <w:gridCol w:w="3159"/>
        <w:gridCol w:w="3159"/>
        <w:gridCol w:w="3168"/>
        <w:gridCol w:w="109"/>
        <w:gridCol w:w="109"/>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9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issuer of the securities held pursuant to the plan and the address of its principal executive office:</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PepsiCo,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700 Anderson Hill Road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Purchase, New York 10577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December 31, 2025 and 2024 </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Index</w:t>
      </w:r>
    </w:p>
    <w:p>
      <w:pPr>
        <w:pStyle w:val="TextBody"/>
        <w:bidi w:val="0"/>
        <w:spacing w:lineRule="auto" w:line="288" w:before="0" w:after="0"/>
        <w:jc w:val="left"/>
        <w:rPr>
          <w:color w:val="000000"/>
        </w:rPr>
      </w:pPr>
      <w:r>
        <w:rPr>
          <w:color w:val="000000"/>
        </w:rPr>
        <w:t> </w:t>
      </w:r>
    </w:p>
    <w:tbl>
      <w:tblPr>
        <w:tblW w:w="8656" w:type="dxa"/>
        <w:jc w:val="left"/>
        <w:tblInd w:w="0" w:type="dxa"/>
        <w:tblLayout w:type="fixed"/>
        <w:tblCellMar>
          <w:top w:w="28" w:type="dxa"/>
          <w:left w:w="28" w:type="dxa"/>
          <w:bottom w:w="28" w:type="dxa"/>
          <w:right w:w="28" w:type="dxa"/>
        </w:tblCellMar>
      </w:tblPr>
      <w:tblGrid>
        <w:gridCol w:w="2904"/>
        <w:gridCol w:w="2549"/>
        <w:gridCol w:w="2557"/>
        <w:gridCol w:w="189"/>
        <w:gridCol w:w="189"/>
        <w:gridCol w:w="268"/>
      </w:tblGrid>
      <w:tr>
        <w:trPr/>
        <w:tc>
          <w:tcPr>
            <w:tcW w:w="2904"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Report of Independent Registered Public Accounting Firm</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95b6bea88394bedb767e85cdad8a61e_16">
              <w:r>
                <w:rPr>
                  <w:rStyle w:val="InternetLink"/>
                  <w:rFonts w:ascii="Times New Roman;serif" w:hAnsi="Times New Roman;serif"/>
                  <w:b w:val="false"/>
                  <w:color w:val="0000FF"/>
                  <w:sz w:val="24"/>
                  <w:u w:val="single"/>
                </w:rPr>
                <w:t>1</w:t>
              </w:r>
            </w:hyperlink>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Statements:</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Statements of Net Assets Available for Benefits as of December 31, 2025 and 2024</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5b6bea88394bedb767e85cdad8a61e_19">
              <w:r>
                <w:rPr>
                  <w:rStyle w:val="InternetLink"/>
                  <w:rFonts w:ascii="Times New Roman;serif" w:hAnsi="Times New Roman;serif"/>
                  <w:b w:val="false"/>
                  <w:color w:val="0000FF"/>
                  <w:sz w:val="24"/>
                  <w:u w:val="single"/>
                </w:rPr>
                <w:t>3</w:t>
              </w:r>
            </w:hyperlink>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Statement of Changes in Net Assets Available for Benefits for the year ended </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December 31, 2025</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5b6bea88394bedb767e85cdad8a61e_22">
              <w:r>
                <w:rPr>
                  <w:rStyle w:val="InternetLink"/>
                  <w:rFonts w:ascii="Times New Roman;serif" w:hAnsi="Times New Roman;serif"/>
                  <w:b w:val="false"/>
                  <w:color w:val="0000FF"/>
                  <w:sz w:val="24"/>
                  <w:u w:val="single"/>
                </w:rPr>
                <w:t>4</w:t>
              </w:r>
            </w:hyperlink>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to Financial Statements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5b6bea88394bedb767e85cdad8a61e_25">
              <w:r>
                <w:rPr>
                  <w:rStyle w:val="InternetLink"/>
                  <w:rFonts w:ascii="Times New Roman;serif" w:hAnsi="Times New Roman;serif"/>
                  <w:b w:val="false"/>
                  <w:color w:val="0000FF"/>
                  <w:sz w:val="24"/>
                  <w:u w:val="single"/>
                </w:rPr>
                <w:t>5</w:t>
              </w:r>
            </w:hyperlink>
            <w:r>
              <w:rPr>
                <w:color w:val="000000"/>
              </w:rPr>
              <w:t xml:space="preserve"> </w:t>
            </w:r>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Supplemental Schedule:</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H, line 4a - Schedule of Delinquent Participant Contributions for the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center"/>
              <w:rPr/>
            </w:pPr>
            <w:hyperlink w:anchor="i695b6bea88394bedb767e85cdad8a61e_552">
              <w:r>
                <w:rPr>
                  <w:rStyle w:val="InternetLink"/>
                  <w:rFonts w:ascii="Times New Roman;serif" w:hAnsi="Times New Roman;serif"/>
                  <w:b w:val="false"/>
                  <w:color w:val="0000FF"/>
                  <w:sz w:val="24"/>
                  <w:u w:val="single"/>
                </w:rPr>
                <w:t>13</w:t>
              </w:r>
            </w:hyperlink>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year ended December 31, 2025</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Schedule H, line 4i - Schedule of Assets (Held at End of Year) as of </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December 31, 2025</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5b6bea88394bedb767e85cdad8a61e_55">
              <w:r>
                <w:rPr>
                  <w:rStyle w:val="InternetLink"/>
                  <w:rFonts w:ascii="Times New Roman;serif" w:hAnsi="Times New Roman;serif"/>
                  <w:b w:val="false"/>
                  <w:color w:val="0000FF"/>
                  <w:sz w:val="24"/>
                  <w:u w:val="single"/>
                </w:rPr>
                <w:t>14</w:t>
              </w:r>
            </w:hyperlink>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5b6bea88394bedb767e85cdad8a61e_58">
              <w:r>
                <w:rPr>
                  <w:rStyle w:val="InternetLink"/>
                  <w:rFonts w:ascii="Times New Roman;serif" w:hAnsi="Times New Roman;serif"/>
                  <w:b w:val="false"/>
                  <w:color w:val="0000FF"/>
                  <w:sz w:val="24"/>
                  <w:u w:val="single"/>
                </w:rPr>
                <w:t>15</w:t>
              </w:r>
            </w:hyperlink>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Index to Exhibit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5b6bea88394bedb767e85cdad8a61e_61">
              <w:r>
                <w:rPr>
                  <w:rStyle w:val="InternetLink"/>
                  <w:rFonts w:ascii="Times New Roman;serif" w:hAnsi="Times New Roman;serif"/>
                  <w:b w:val="false"/>
                  <w:color w:val="0000FF"/>
                  <w:sz w:val="24"/>
                  <w:u w:val="single"/>
                </w:rPr>
                <w:t>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Report of Independent Registered Public Accounting Firm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the Plan Participants and Plan Administrator of</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The PepsiCo Savings Plan:</w:t>
      </w:r>
    </w:p>
    <w:p>
      <w:pPr>
        <w:pStyle w:val="TextBody"/>
        <w:bidi w:val="0"/>
        <w:spacing w:lineRule="auto" w:line="288" w:before="0" w:after="100"/>
        <w:jc w:val="left"/>
        <w:rPr>
          <w:rFonts w:ascii="Times New Roman;serif" w:hAnsi="Times New Roman;serif"/>
          <w:b/>
          <w:color w:val="000000"/>
          <w:sz w:val="24"/>
        </w:rPr>
      </w:pPr>
      <w:r>
        <w:rPr>
          <w:rFonts w:ascii="Times New Roman;serif" w:hAnsi="Times New Roman;serif"/>
          <w:b/>
          <w:color w:val="000000"/>
          <w:sz w:val="24"/>
        </w:rPr>
        <w:t>Opinion on the Financial Statements</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We have audited the accompanying statements of net assets available for benefits of The PepsiCo Savings Plan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U.S. generally accepted accounting principles.</w:t>
      </w:r>
    </w:p>
    <w:p>
      <w:pPr>
        <w:pStyle w:val="TextBody"/>
        <w:bidi w:val="0"/>
        <w:spacing w:lineRule="auto" w:line="288" w:before="0" w:after="100"/>
        <w:jc w:val="left"/>
        <w:rPr>
          <w:rFonts w:ascii="Times New Roman;serif" w:hAnsi="Times New Roman;serif"/>
          <w:b/>
          <w:color w:val="000000"/>
          <w:sz w:val="24"/>
        </w:rPr>
      </w:pPr>
      <w:r>
        <w:rPr>
          <w:rFonts w:ascii="Times New Roman;serif" w:hAnsi="Times New Roman;serif"/>
          <w:b/>
          <w:color w:val="000000"/>
          <w:sz w:val="24"/>
        </w:rPr>
        <w:t>Basis for Opinion</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lineRule="auto" w:line="288" w:before="0" w:after="200"/>
        <w:jc w:val="both"/>
        <w:rPr/>
      </w:pPr>
      <w:r>
        <w:rPr>
          <w:rFonts w:ascii="Times New Roman;serif" w:hAnsi="Times New Roman;serif"/>
          <w:b w:val="false"/>
          <w:color w:val="000000"/>
          <w:sz w:val="24"/>
        </w:rPr>
        <w:t>We conducted our audits in accordance with the standards of the PCAOB. Those standards require that we plan and perform the audit to obtain reasonable assurance about whether the</w:t>
      </w:r>
      <w:r>
        <w:rPr>
          <w:color w:val="000000"/>
        </w:rPr>
        <w:t xml:space="preserve"> </w:t>
      </w:r>
      <w:r>
        <w:rPr>
          <w:rFonts w:ascii="Times New Roman;serif" w:hAnsi="Times New Roman;serif"/>
          <w:b w:val="false"/>
          <w:color w:val="000000"/>
          <w:sz w:val="24"/>
        </w:rPr>
        <w:t>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00"/>
        <w:jc w:val="left"/>
        <w:rPr>
          <w:rFonts w:ascii="Times New Roman;serif" w:hAnsi="Times New Roman;serif"/>
          <w:b/>
          <w:color w:val="000000"/>
          <w:sz w:val="24"/>
        </w:rPr>
      </w:pPr>
      <w:r>
        <w:rPr>
          <w:rFonts w:ascii="Times New Roman;serif" w:hAnsi="Times New Roman;serif"/>
          <w:b/>
          <w:color w:val="000000"/>
          <w:sz w:val="24"/>
        </w:rPr>
        <w:t>Accompanying Supplemental Information</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The Schedule H, line 4a - Schedule of Delinquent Participant Contributions for the year ended December 31, 2025, and Schedule H, line 4i - Schedule of Assets (Held at End of Year) as of December 31, 2025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200"/>
        <w:jc w:val="both"/>
        <w:rPr/>
      </w:pPr>
      <w:r>
        <w:rPr/>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/s/ KPMG LLP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We have served as the Plan's auditor since 2000.</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New York, New York</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June 18,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Statements of Net Assets Available for Benefits</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as of December 31, 2025 and 2024</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(dollars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03"/>
        <w:gridCol w:w="2013"/>
        <w:gridCol w:w="2027"/>
        <w:gridCol w:w="109"/>
        <w:gridCol w:w="109"/>
        <w:gridCol w:w="109"/>
        <w:gridCol w:w="226"/>
        <w:gridCol w:w="1246"/>
        <w:gridCol w:w="109"/>
        <w:gridCol w:w="109"/>
        <w:gridCol w:w="109"/>
        <w:gridCol w:w="109"/>
        <w:gridCol w:w="226"/>
        <w:gridCol w:w="1246"/>
        <w:gridCol w:w="155"/>
      </w:tblGrid>
      <w:tr>
        <w:trPr/>
        <w:tc>
          <w:tcPr>
            <w:tcW w:w="2303"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2024</w:t>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Plan interest in the PepsiCo, Inc. Defined Contribution Plans Master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16,371,702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14,599,872 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Participant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902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Employer 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6,726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27,169 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328,171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309,896 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335,799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337,079 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Participant contribution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16,707,315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14,936,882 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Statement of Changes in Net Assets Available for Benefits</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for the year ended December 31, 2025</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(dollars in thousands)</w:t>
      </w:r>
    </w:p>
    <w:tbl>
      <w:tblPr>
        <w:tblW w:w="9350" w:type="dxa"/>
        <w:jc w:val="center"/>
        <w:tblInd w:w="0" w:type="dxa"/>
        <w:tblLayout w:type="fixed"/>
        <w:tblCellMar>
          <w:top w:w="28" w:type="dxa"/>
          <w:left w:w="28" w:type="dxa"/>
          <w:bottom w:w="28" w:type="dxa"/>
          <w:right w:w="28" w:type="dxa"/>
        </w:tblCellMar>
      </w:tblPr>
      <w:tblGrid>
        <w:gridCol w:w="2796"/>
        <w:gridCol w:w="2457"/>
        <w:gridCol w:w="2471"/>
        <w:gridCol w:w="226"/>
        <w:gridCol w:w="1246"/>
        <w:gridCol w:w="154"/>
      </w:tblGrid>
      <w:tr>
        <w:trPr/>
        <w:tc>
          <w:tcPr>
            <w:tcW w:w="2796"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Additions to net assets attributed to:</w:t>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Gain:</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Investment gain from the PepsiCo, Inc. Defined Contribution Plans Master Trust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2,136,397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income on notes receivable from participants</w:t>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31,016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gain</w:t>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2,167,413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Contributions:</w:t>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Participants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793,692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Rollovers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65,178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Employer</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418,755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additions</w:t>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3,445,038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Deductions from net assets attributed to:</w:t>
            </w:r>
          </w:p>
        </w:tc>
        <w:tc>
          <w:tcPr>
            <w:tcW w:w="1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Benefits paid to participants</w:t>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1,704,964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Dividends paid to participants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3,180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Administrative expenses</w:t>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1,931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Total deductions </w:t>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1,710,075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Increase in net assets before transfers</w:t>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1,734,963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transfers in</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35,470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Increase in Net Assets</w:t>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1,770,433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Assets Available for Benefits at Beginning of Year</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14,936,882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Assets Available for Benefits at End of Year</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16,707,315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80" w:after="283"/>
        <w:jc w:val="left"/>
        <w:rPr>
          <w:rFonts w:ascii="Times New Roman;serif" w:hAnsi="Times New Roman;serif"/>
          <w:b w:val="false"/>
          <w:color w:val="000000"/>
          <w:sz w:val="24"/>
        </w:rPr>
      </w:pPr>
      <w:r>
        <w:rPr>
          <w:rFonts w:ascii="Times New Roman;serif" w:hAnsi="Times New Roman;serif"/>
          <w:b w:val="false"/>
          <w:color w:val="000000"/>
          <w:sz w:val="24"/>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100" w:after="283"/>
        <w:jc w:val="center"/>
        <w:rPr/>
      </w:pPr>
      <w:r>
        <w:rPr/>
      </w:r>
    </w:p>
    <w:p>
      <w:pPr>
        <w:pStyle w:val="TextBody"/>
        <w:bidi w:val="0"/>
        <w:spacing w:before="12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 1 – Description of the Plan</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The following brief description of The PepsiCo Savings Plan (the Plan) provides only general information. Participants should refer to the Plan document for a more complete description of the Plan's provisions.</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General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general, the Plan provides a program under which eligible salaried and hourly employees (eligible employees) of PepsiCo, Inc. and certain of its subsidiaries (the Company) may accumulate funds for long-term retirement savings. All eligible employees who are paid in U.S. dollars from a U.S. payroll and classified as full time, and certain other employees as defined in the Plan document, are immediately eligible on their first day of service. Part-time eligible employees who are paid in U.S. dollars from a U.S. payroll who have completed 1,000 hours of service during a 12-month period are eligible to participate in the Plan. Part-time eligible employees who have completed two consecutive 12-month periods of at least 500 hours of service are eligible to participate in the Plan. Certain employees who are part of a collective bargaining unit and certain other employees, as defined in the Plan document, are not eligible to participate in the Plan. </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The Plan is a defined contribution plan with a cash or deferred arrangement and is intended to satisfy the qualification requirements under Sections 401(a) and 401(k) of the Internal Revenue Code of 1986, as amended (the Code). The Plan has an employee stock ownership plan component within its PepsiCo Common Stock Fund. The Plan also has a Roth 401(k) feature and an after-tax contribution feature. The participant-directed accounts under the Plan are intended to meet the requirements of Section 404(c) of the Employee Retirement Income Security Act of 1974, as amended (ERISA). In addition, the Plan is subject to the provisions of ERISA.</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In December 2024, the Company acquired the Strauss Group's 50% ownership interest in Sabra Dipping Company, LLC (Sabra), and Sabra became a wholly-owned subsidiary. Sabra makes, markets, distributes and sells Sabra refrigerated dips and spreads. In connection with the acquisition, the Sabra 401(k) Plan was merged into the Plan effective June 2, 2025. Total assets of $35.5 million were transferred into the Plan.</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On January 17, 2025, the Company acquired all of the outstanding equity interest in Garza Food Ventures LLC (Siete), a Mexican-American foods business. In connection with the acquisition, Siete employees were eligible to participate in the Plan effective January 17, 2025.</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On May 19, 2025, the Company acquired all of the outstanding equity interest in VNGR Beverage, LLC (poppi), a prebiotic soda business. In connection with the acquisition, poppi employees were eligible to participate in the Plan effective May 19, 2025. </w:t>
      </w:r>
    </w:p>
    <w:p>
      <w:pPr>
        <w:pStyle w:val="TextBody"/>
        <w:bidi w:val="0"/>
        <w:spacing w:lineRule="auto" w:line="288" w:before="100" w:after="283"/>
        <w:jc w:val="both"/>
        <w:rPr>
          <w:rFonts w:ascii="Times New Roman;serif" w:hAnsi="Times New Roman;serif"/>
          <w:b/>
          <w:i/>
          <w:color w:val="000000"/>
          <w:sz w:val="24"/>
        </w:rPr>
      </w:pPr>
      <w:r>
        <w:rPr>
          <w:rFonts w:ascii="Times New Roman;serif" w:hAnsi="Times New Roman;serif"/>
          <w:b/>
          <w:i/>
          <w:color w:val="000000"/>
          <w:sz w:val="24"/>
        </w:rPr>
        <w:t>Administration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maintains sponsorship of the Plan and has established the PepsiCo Investment Committee to oversee the Plan's investment structure. Overall responsibility for administering the Plan rests with the PepsiCo Administration Committee (the Plan Administrator). The trustee for the Plan is Fidelity Management Trust Company (the Trustee), and the recordkeeper for the Plan is Fidelity Workplace Services LLC.</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Contributions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Each year, participants are allowed to contribute up to 50% of their earnings, in whole percentage increments, up to a maximum pre-tax and Roth amount under the Code ($23,500 for 2025).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100" w:after="283"/>
        <w:jc w:val="center"/>
        <w:rPr/>
      </w:pPr>
      <w:r>
        <w:rPr/>
      </w:r>
    </w:p>
    <w:p>
      <w:pPr>
        <w:pStyle w:val="TextBody"/>
        <w:bidi w:val="0"/>
        <w:spacing w:before="120" w:after="283"/>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 contribute to the Plan any portion of lump-sum distributions received from other qualified plans when the contributions qualify as a tax-free rollover.</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Participants who are expected to reach or are over age 50 during a Plan year and are making the maximum contribution are eligible to make additional catch-up contributions (up to an additional 25% of their annual compensation for such Plan year). Under the Code, the maximum allowable catch-up contribution was $7,500 for 2025.</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Participants may elect to have their contributions invested in one or more investment options. In general, participants may change their investment elections and transfer their investment amounts between funds on a daily basis, except for transfers from the stable value fund to the self-directed brokerage account; such transfers must be invested into another investment option for a 90-day waiting period. Initial transfers from other investment options to the self-directed brokerage account must be at least $1,000. </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Salaried employees who are actively accruing benefits, or in a waiting period to actively accrue benefits, under a Company-sponsored defined benefit pension plan are currently not eligible for Company matching or non-matching contributions in the Plan. Benefits were frozen for salaried employees who were actively accruing benefits under a Company-sponsored defined benefit pension plan effective December 31, 2025, and they became eligible for Company matching and non-matching contributions as of January 1, 2026. In general, for eligible employees, the Company matches 50% of employee contributions up to a limit ranging from 4% to 8% of eligible pay based on years of service, which is invested in accordance with employee elections. Company non-matching contributions are based on age and years of service regardless of employee contribution, up to a maximum of 9% of eligible employee pay. Company non-matching contributions are invested in accordance with the employee's investment elections; however, they may not be invested in the self-directed brokerage option or the PepsiCo Common Stock Fund. Certain eligible hourly employees who are participants in a Company-sponsored defined benefit plan will receive Company non-matching contributions ranging from 6% to 8% of eligible pay above a certain threshold depending on years of service. Eligible union employees may receive different Company matching and other Company contribution amounts.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The Plan has an automatic enrollment program for full-time and part-time hires. Under the program, eligible employees automatically make pre-tax contributions in the amount of 4% to 10% of earnings. Employees that are automatically enrolled have their contribution invested in a target date fund, based on a target date closest to the employee's 65th birthday. An employee may elect out of the automatic enrollment program at any time, as well as make changes to (or maintain) the level of contributions and may re-direct how those contributions are invested.</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Participant Accounts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Each participant account is credited with participant contributions, Company contributions, if applicable, and allocations of investment earnings/losses and expenses. Investment earnings/losses and expenses are allocated based on average daily balances. Certain participant investment accounts are also charged with short-term trading and/or monthly investment service fees, depending on the participant's investment elections.</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Vesting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Participants are immediately vested in their own contributions and associated investment earnings/losses. In general, participants are fully vested in the Company contributions and associated investment earnings/losses after three years of service. Forfeited non-vested amounts are used to reduce future Company contributions or pay plan administrative expenses. The forfeited non-vested amounts used to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100" w:after="283"/>
        <w:jc w:val="center"/>
        <w:rPr/>
      </w:pPr>
      <w:r>
        <w:rPr/>
      </w:r>
    </w:p>
    <w:p>
      <w:pPr>
        <w:pStyle w:val="TextBody"/>
        <w:bidi w:val="0"/>
        <w:spacing w:before="120" w:after="283"/>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Company contributions were $50.6 million in 2025. As of December 31, 2025 and 2024, remaining unused forfeited non-vested accounts totaled $0.7 million and $4.2 million, respectively. </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Notes Receivable from Participants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In general, participants who have a vested balance of $2,000 or more in the Plan may borrow from the total of their investment accounts a minimum of $1,000 up to a maximum equal to the lesser of $50,000 (subject to certain offsets for prior loans) or 50% of their vested balance. A participant may have two outstanding loans at a time only if one of them is a principal residence loan. Loan terms range from one to five years for personal loans and up to 15 years for loans related to the purchase of a primary residence. The loans are secured by the balance in the participant's account.</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Loans issued before January 1, 2013 bear a fixed rate of interest at the prime lending rate plus 1% at the time the loans were issued. Loans issued on or after January 1, 2013 bear a fixed rate of interest at the prime lending rate plus 2% at the time the loans are issued. Loan repayments are made directly through payroll deductions and are applied first to interest and then to principal according to a payment schedule. There were 46,417 and 44,446 loans outstanding at December 31, 2025 and 2024, respectively, with interest rates ranging from 3.3% to 10.5% with maturities through 2041 and 2040, respectively. </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Benefits Paid to Participants</w:t>
      </w:r>
    </w:p>
    <w:p>
      <w:pPr>
        <w:pStyle w:val="TextBody"/>
        <w:bidi w:val="0"/>
        <w:spacing w:lineRule="auto" w:line="288" w:before="0" w:after="0"/>
        <w:jc w:val="both"/>
        <w:rPr/>
      </w:pPr>
      <w:r>
        <w:rPr>
          <w:rFonts w:ascii="Times New Roman;serif" w:hAnsi="Times New Roman;serif"/>
          <w:b w:val="false"/>
          <w:color w:val="000000"/>
          <w:sz w:val="24"/>
        </w:rPr>
        <w:t>In general, participants may elect to receive a distribution upon hardship, termination, disability, retirement or after the age of 59</w:t>
      </w:r>
      <w:r>
        <w:rPr>
          <w:rFonts w:ascii="Times New Roman;serif" w:hAnsi="Times New Roman;serif"/>
          <w:b w:val="false"/>
          <w:color w:val="000000"/>
          <w:sz w:val="13"/>
        </w:rPr>
        <w:t>1</w:t>
      </w:r>
      <w:r>
        <w:rPr>
          <w:rFonts w:ascii="Times New Roman;serif" w:hAnsi="Times New Roman;serif"/>
          <w:b w:val="false"/>
          <w:color w:val="000000"/>
          <w:sz w:val="20"/>
        </w:rPr>
        <w:t>/</w:t>
      </w:r>
      <w:r>
        <w:rPr>
          <w:rFonts w:ascii="Times New Roman;serif" w:hAnsi="Times New Roman;serif"/>
          <w:b w:val="false"/>
          <w:color w:val="000000"/>
          <w:sz w:val="13"/>
        </w:rPr>
        <w:t>2</w:t>
      </w:r>
      <w:r>
        <w:rPr>
          <w:rFonts w:ascii="Times New Roman;serif" w:hAnsi="Times New Roman;serif"/>
          <w:b w:val="false"/>
          <w:color w:val="000000"/>
          <w:sz w:val="24"/>
        </w:rPr>
        <w:t>; however, loans and hardship withdrawals may not be taken from Company contribution balances. Hardship distributions are allowed for purchasing a primary residence or financing the higher education of the participant, the participant's spouse or dependent, as well as paying unreimbursed medical bills or alleviating certain other financial hardships. Upon termination, disability or retirement, participants may elect to receive benefits in a lump sum or rollover their account balances into other qualified plans. If a participant dies, the total account balance will be paid to the designated or default beneficiary or to his or her estate. Under certain circumstances, participants may also elect to take in-service distributions of any after-tax contributions, rollover contributions and vested Company matching contributions.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If only a portion of the account is distributed, the remaining balance will continue to be adjusted for any contributions and investment earnings/losses. Participants can elect to receive benefit payments in a lump sum or annual installments for a period no longer than the participant's life expectancy. However, vested account balances of $5,000 or less must be distributed in a lump sum. If the account balance is greater than $1,000 and less than or equal to $5,000, and if a distribution election is not made within the required time frame, that account will be rolled over into a Fidelity Rollover IRA and invested in the Fidelity Government Cash Reserves Fund. If a distribution election is not made within the required time frame for an account balance of $1,000 or less, the account will be distributed automatically.</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Termination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Although it has not expressed any intent to do so, the Company may terminate the Plan in accordance with ERISA and the Code. In the event the Plan is terminated, participants would become 100% vested in any Company contributions and the Plan Administrator can direct that all accounts be distributed to the participants or continued in trust for his or her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4"/>
        </w:rPr>
      </w:pPr>
      <w:r>
        <w:rPr>
          <w:rFonts w:ascii="Times New Roman;serif" w:hAnsi="Times New Roman;serif"/>
          <w:b/>
          <w:color w:val="000000"/>
          <w:sz w:val="24"/>
        </w:rPr>
        <w:t>Note 2 – Summary of Significant Accounting Policies</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Basis of Presentation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financial statements are prepared under the accrual basis of accounting. The preparation of the financial statements in conformity with U.S. generally accepted accounting principles requires the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100" w:after="283"/>
        <w:jc w:val="center"/>
        <w:rPr/>
      </w:pPr>
      <w:r>
        <w:rPr/>
      </w:r>
    </w:p>
    <w:p>
      <w:pPr>
        <w:pStyle w:val="TextBody"/>
        <w:bidi w:val="0"/>
        <w:spacing w:before="120" w:after="283"/>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management to make estimates and assumptions that affect the reported amounts of assets, liabilities, additions to net assets, deductions from net assets and disclosure of contingent assets and liabilities. Actual results could differ from those estimates and assumptions.</w:t>
      </w:r>
    </w:p>
    <w:p>
      <w:pPr>
        <w:pStyle w:val="TextBody"/>
        <w:bidi w:val="0"/>
        <w:spacing w:lineRule="auto" w:line="288" w:before="100" w:after="283"/>
        <w:jc w:val="both"/>
        <w:rPr>
          <w:rFonts w:ascii="Times New Roman;serif" w:hAnsi="Times New Roman;serif"/>
          <w:b/>
          <w:i/>
          <w:color w:val="000000"/>
          <w:sz w:val="24"/>
        </w:rPr>
      </w:pPr>
      <w:r>
        <w:rPr>
          <w:rFonts w:ascii="Times New Roman;serif" w:hAnsi="Times New Roman;serif"/>
          <w:b/>
          <w:i/>
          <w:color w:val="000000"/>
          <w:sz w:val="24"/>
        </w:rPr>
        <w:t>Investment Valuation and Income Recognition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Plan retains a 100% interest in the PepsiCo, Inc. Defined Contribution Plans Master Trust (PepsiCo Master Trust), which holds investments in various securities, commingled trust funds and a stable value fund. These investments are recorded at fair value, except for the fully benefit-responsive investment contracts within the stable value fund. Within the stable value fund, the collective investment trust is recorded at fair value, while the synthetic investment contracts are recorded at contract value. Contract value is the relevant measure for the portion of the net assets available for benefits of fully benefit-responsive investment contracts because contract value is the amount participants would receive if they were to initiate permitted transactions under the terms of the Plan.</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Purchases and sales of securities are recognized on the trade date. Interest income is recorded as earned and dividend income is recorded as of the ex-dividend date.</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Notes Receivable from Participants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Notes receivable from participants are measured at their unpaid principal balance plus any accrued but unpaid interest. Notes receivable from participants are deemed delinquent as of the end of the calendar quarter following the calendar quarter in which the loan repayment is due and unpaid. Delinquent notes receivable from participants are recorded as benefits paid to participants.</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Payment of Benefits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Plan accounts for benefits when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4"/>
        </w:rPr>
      </w:pPr>
      <w:r>
        <w:rPr>
          <w:rFonts w:ascii="Times New Roman;serif" w:hAnsi="Times New Roman;serif"/>
          <w:b/>
          <w:color w:val="000000"/>
          <w:sz w:val="24"/>
        </w:rPr>
        <w:t>Note 3 – PepsiCo Master Trust</w:t>
      </w:r>
    </w:p>
    <w:p>
      <w:pPr>
        <w:pStyle w:val="TextBody"/>
        <w:bidi w:val="0"/>
        <w:spacing w:lineRule="auto" w:line="288" w:before="100" w:after="283"/>
        <w:jc w:val="left"/>
        <w:rPr>
          <w:rFonts w:ascii="Times New Roman;serif" w:hAnsi="Times New Roman;serif"/>
          <w:b/>
          <w:i/>
          <w:color w:val="000000"/>
          <w:sz w:val="24"/>
        </w:rPr>
      </w:pPr>
      <w:r>
        <w:rPr>
          <w:rFonts w:ascii="Times New Roman;serif" w:hAnsi="Times New Roman;serif"/>
          <w:b/>
          <w:i/>
          <w:color w:val="000000"/>
          <w:sz w:val="24"/>
        </w:rPr>
        <w:t>Plan Interest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Plan is the only investor in the PepsiCo Master Trust. The Plan's interest in the net assets of the PepsiCo Master Trust was 100% at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100" w:after="283"/>
        <w:jc w:val="center"/>
        <w:rPr/>
      </w:pPr>
      <w:r>
        <w:rPr/>
      </w:r>
    </w:p>
    <w:p>
      <w:pPr>
        <w:pStyle w:val="TextBody"/>
        <w:bidi w:val="0"/>
        <w:spacing w:before="120" w:after="283"/>
        <w:jc w:val="center"/>
        <w:rPr/>
      </w:pPr>
      <w:r>
        <w:rPr/>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PepsiCo Master Trust net assets are detailed below by asset category. </w:t>
      </w:r>
    </w:p>
    <w:tbl>
      <w:tblPr>
        <w:tblW w:w="10205" w:type="dxa"/>
        <w:jc w:val="left"/>
        <w:tblInd w:w="0" w:type="dxa"/>
        <w:tblLayout w:type="fixed"/>
        <w:tblCellMar>
          <w:top w:w="28" w:type="dxa"/>
          <w:left w:w="28" w:type="dxa"/>
          <w:bottom w:w="28" w:type="dxa"/>
          <w:right w:w="28" w:type="dxa"/>
        </w:tblCellMar>
      </w:tblPr>
      <w:tblGrid>
        <w:gridCol w:w="2355"/>
        <w:gridCol w:w="1985"/>
        <w:gridCol w:w="1989"/>
        <w:gridCol w:w="279"/>
        <w:gridCol w:w="1544"/>
        <w:gridCol w:w="134"/>
        <w:gridCol w:w="266"/>
        <w:gridCol w:w="1468"/>
        <w:gridCol w:w="185"/>
      </w:tblGrid>
      <w:tr>
        <w:trPr/>
        <w:tc>
          <w:tcPr>
            <w:tcW w:w="2355"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1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2024</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 thousands)</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Investments, at fair value:</w:t>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and cash equivalents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35,269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29,226 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PepsiCo common stock</w:t>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1,140,476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1,356,452 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Money market fund</w:t>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13,047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14,427 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Fixed income securities</w:t>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273,188</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254,101 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Commingled trust funds</w:t>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13,329,006</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11,422,930 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Self-directed brokerage</w:t>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931,026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815,394 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15,722,012</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13,892,530 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Investments at contract value: fully benefit-responsive synthetic investment contracts</w:t>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637,540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696,050 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and dividends receivable</w:t>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11,415</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receivables</w:t>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50,907</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35,332 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liabilities</w:t>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(50,172)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(36,261)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16,371,702</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14,599,872 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Year ended</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December 31, 2025 </w:t>
            </w:r>
          </w:p>
        </w:tc>
        <w:tc>
          <w:tcPr>
            <w:tcW w:w="191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 thousands)</w:t>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Investment gain:</w:t>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Net appreciation in value of investments* </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4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2,064,772</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Interest and dividends</w:t>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71,625</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investment gain</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2,136,397</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Includes net appreciation of investments at contract value</w:t>
            </w:r>
          </w:p>
        </w:tc>
        <w:tc>
          <w:tcPr>
            <w:tcW w:w="1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Stable Value Fund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PepsiCo Master Trust holds investments in a stable value fund, which consists of bond portfolios wrapped in fully benefit-responsive synthetic investment contracts. The majority of the portfolios are made up of government, corporate, mortgage-backed and asset-backed securities. The fully benefit-responsive investment contracts enable the fund to realize a specific known value for the assets if it needs to liquidate them for benefit payments.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The synthetic investment contracts are issued by five investment grade financial institutions and intend to preserve the value of the fund's investments by mitigating fluctuations in the market value of the associated bond portfolios. These synthetic investment contracts are benefit-responsive in that they allow for participant withdrawals at contract value. Contract value represents contributions made under the contract plus earnings, less participant withdrawals and administrative expenses. The contract value of these investments was $637.5 million and $696.1 million as of December 31, 2025 and 2024, respectively.</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The crediting interest rate is based on a formula agreed upon with the issuer, but may not be less than zero. Such interest rates are reviewed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100" w:after="283"/>
        <w:jc w:val="center"/>
        <w:rPr/>
      </w:pPr>
      <w:r>
        <w:rPr/>
      </w:r>
    </w:p>
    <w:p>
      <w:pPr>
        <w:pStyle w:val="TextBody"/>
        <w:bidi w:val="0"/>
        <w:spacing w:before="120" w:after="283"/>
        <w:jc w:val="center"/>
        <w:rPr/>
      </w:pPr>
      <w:r>
        <w:rPr/>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Certain events, such as layoffs or early retirement incentives, may limit the ability of participants to access their investments at contract value. The likelihood of such events limiting the ability of the Plan to transact at contract value is not probable. Consistent with industry practice, a contract provider can terminate its contract with, on average, 30 days' notice, provided a for-cause termination event has not occurred. The Plan's contractual right for a wind-down period allows the contract to remain in force, including maintaining benefit-responsive payments to participants, for a period required to converge the market and book values of the contract, which is expected to be, on average, two to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4"/>
        </w:rPr>
      </w:pPr>
      <w:r>
        <w:rPr>
          <w:rFonts w:ascii="Times New Roman;serif" w:hAnsi="Times New Roman;serif"/>
          <w:b/>
          <w:color w:val="000000"/>
          <w:sz w:val="24"/>
        </w:rPr>
        <w:t>Note 4 – Fair Value Measurements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guidance on fair value measurements defines fair value, establishes a framework for measuring fair value and identifies required disclosures related to fair value measurements. The fair value framework requires the categorization of assets and liabilities into three levels based upon the assumptions (inputs) used to value the assets and liabilities. Level 1 provides the most reliable measure of fair value, whereas Level 3 generally requires significant judgment. </w:t>
      </w:r>
    </w:p>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PepsiCo Master Trust assets measured at fair value as of December 31, 2025 and 2024 are categorized consistently by Level 1 (Quoted and Published Prices in Active Markets for Identical Assets) and Level 2 (Significant Other Observable Inputs) in both years, with no assets categorized as Level 3 (Significant Unobservable Inputs), and are as follows:</w:t>
      </w:r>
    </w:p>
    <w:tbl>
      <w:tblPr>
        <w:tblW w:w="9530" w:type="dxa"/>
        <w:jc w:val="left"/>
        <w:tblInd w:w="0" w:type="dxa"/>
        <w:tblLayout w:type="fixed"/>
        <w:tblCellMar>
          <w:top w:w="28" w:type="dxa"/>
          <w:left w:w="28" w:type="dxa"/>
          <w:bottom w:w="28" w:type="dxa"/>
          <w:right w:w="28" w:type="dxa"/>
        </w:tblCellMar>
      </w:tblPr>
      <w:tblGrid>
        <w:gridCol w:w="998"/>
        <w:gridCol w:w="876"/>
        <w:gridCol w:w="885"/>
        <w:gridCol w:w="969"/>
        <w:gridCol w:w="969"/>
        <w:gridCol w:w="972"/>
        <w:gridCol w:w="109"/>
        <w:gridCol w:w="109"/>
        <w:gridCol w:w="109"/>
        <w:gridCol w:w="226"/>
        <w:gridCol w:w="1246"/>
        <w:gridCol w:w="109"/>
        <w:gridCol w:w="109"/>
        <w:gridCol w:w="109"/>
        <w:gridCol w:w="109"/>
        <w:gridCol w:w="226"/>
        <w:gridCol w:w="124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2024</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Assets</w:t>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Cash and cash equivalents</w:t>
            </w:r>
            <w:r>
              <w:rPr>
                <w:rFonts w:ascii="Times New Roman;serif" w:hAnsi="Times New Roman;serif"/>
                <w:b w:val="false"/>
                <w:color w:val="000000"/>
                <w:sz w:val="16"/>
              </w:rPr>
              <w:t>(a)</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35,269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PepsiCo common stock</w:t>
            </w:r>
            <w:r>
              <w:rPr>
                <w:rFonts w:ascii="Times New Roman;serif" w:hAnsi="Times New Roman;serif"/>
                <w:b w:val="false"/>
                <w:color w:val="000000"/>
                <w:sz w:val="16"/>
              </w:rPr>
              <w:t>(b)</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1,140,476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1,356,452 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Money market fund</w:t>
            </w:r>
            <w:r>
              <w:rPr>
                <w:rFonts w:ascii="Times New Roman;serif" w:hAnsi="Times New Roman;serif"/>
                <w:b w:val="false"/>
                <w:color w:val="000000"/>
                <w:sz w:val="16"/>
              </w:rPr>
              <w:t>(b)</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13,047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Fixed income securities</w:t>
            </w:r>
            <w:r>
              <w:rPr>
                <w:rFonts w:ascii="Times New Roman;serif" w:hAnsi="Times New Roman;serif"/>
                <w:b w:val="false"/>
                <w:color w:val="000000"/>
                <w:sz w:val="16"/>
              </w:rPr>
              <w:t>(c)</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273,188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254,101 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Commingled trust funds</w:t>
            </w:r>
            <w:r>
              <w:rPr>
                <w:rFonts w:ascii="Times New Roman;serif" w:hAnsi="Times New Roman;serif"/>
                <w:b w:val="false"/>
                <w:color w:val="000000"/>
                <w:sz w:val="16"/>
              </w:rPr>
              <w:t>(d)</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13,329,006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11,422,930 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Self-directed brokerage</w:t>
            </w:r>
            <w:r>
              <w:rPr>
                <w:rFonts w:ascii="Times New Roman;serif" w:hAnsi="Times New Roman;serif"/>
                <w:b w:val="false"/>
                <w:color w:val="000000"/>
                <w:sz w:val="16"/>
              </w:rPr>
              <w:t>(b,d,e)</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931,026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815,394 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assets at fair value</w:t>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15,722,012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13,892,530 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(a)Restricted in use.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(b)Based on quoted market prices in active markets.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(c)Based primarily on yields currently available on comparable securities with similar credit ratings and a compilation of primary observable market information.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(d)Based on the published price of the fund.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(e)Includes cash and cash equivalents held in self-directed brokerage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4"/>
        </w:rPr>
      </w:pPr>
      <w:r>
        <w:rPr>
          <w:rFonts w:ascii="Times New Roman;serif" w:hAnsi="Times New Roman;serif"/>
          <w:b/>
          <w:color w:val="000000"/>
          <w:sz w:val="24"/>
        </w:rPr>
        <w:t>Note 5 – Administrative Expenses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In general, the Company pays most of the usual and reasonable direct expenses of the Plan and the Plan Administrator. Any direct expenses not borne by the Company are paid by the Trustee out of the PepsiCo Master Trust. If applicable, expenses related to short-term trading fees, monthly investment service fees and loan fees are charged to participants' investment balances and are reflected in the value of the participants' accounts. Any other indirect expenses, such as investment management fees, are reflected in the change in net asset value of the various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100" w:after="283"/>
        <w:jc w:val="center"/>
        <w:rPr/>
      </w:pPr>
      <w:r>
        <w:rPr/>
      </w:r>
    </w:p>
    <w:p>
      <w:pPr>
        <w:pStyle w:val="TextBody"/>
        <w:bidi w:val="0"/>
        <w:spacing w:before="120" w:after="283"/>
        <w:jc w:val="center"/>
        <w:rPr/>
      </w:pPr>
      <w:r>
        <w:rPr/>
      </w:r>
    </w:p>
    <w:p>
      <w:pPr>
        <w:pStyle w:val="TextBody"/>
        <w:bidi w:val="0"/>
        <w:spacing w:lineRule="auto" w:line="288" w:before="100" w:after="283"/>
        <w:jc w:val="left"/>
        <w:rPr>
          <w:rFonts w:ascii="Times New Roman;serif" w:hAnsi="Times New Roman;serif"/>
          <w:b/>
          <w:color w:val="000000"/>
          <w:sz w:val="24"/>
        </w:rPr>
      </w:pPr>
      <w:r>
        <w:rPr>
          <w:rFonts w:ascii="Times New Roman;serif" w:hAnsi="Times New Roman;serif"/>
          <w:b/>
          <w:color w:val="000000"/>
          <w:sz w:val="24"/>
        </w:rPr>
        <w:t>Note 6 – Risks and Uncertainties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The Plan provides for investment options in various securities and funds that invest in equity and debt securities and other investments. Such investments are exposed to risks and uncertainties, such as interest rate risk, credit risk, economic changes, political unrest, geopolitical instability, regulatory changes, foreign currency risk and overall market volatility. The Plan's exposure to a concentration of credit risk is dependent upon the investments selected by participants. These risks and uncertainties could impact the participants' account balances and the amounts reported in the financial statements. Approximately 7% and 9% of the Plan's net assets available for benefits were invested in common stock of the Company through the PepsiCo Master Trust at December 31, 2025 and 2024, respectively. The underlying value of the Company's stock is impacted by the performance of the Company, the market's evaluation of such performance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4"/>
        </w:rPr>
      </w:pPr>
      <w:r>
        <w:rPr>
          <w:rFonts w:ascii="Times New Roman;serif" w:hAnsi="Times New Roman;serif"/>
          <w:b/>
          <w:color w:val="000000"/>
          <w:sz w:val="24"/>
        </w:rPr>
        <w:t>Note 7 – Tax Status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The Plan's latest favorable determination letter, received from the Internal Revenue Service, is dated March 11, 2015. Although the Plan has been amended since receiving this determination letter, the Plan Administrator believes the Plan is designed and currently being operated in compliance with the applicable requirements of the Code and, therefore, the Plan is qualified and the related master trust is tax exempt.</w:t>
      </w:r>
    </w:p>
    <w:p>
      <w:pPr>
        <w:pStyle w:val="TextBody"/>
        <w:bidi w:val="0"/>
        <w:spacing w:lineRule="auto" w:line="288" w:before="10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plan year ended December 31, 2025, participant contributions, including loan repayments, of $9.5 million were remitted late to the Plan. These contributions, listed on Schedule H, line 4a - Schedule of Delinquent Participant Contributions, are pending correction under the U.S. Department of Labor's Voluntary Fiduciary Correction Program (VFCP) as of December 31, 2025. </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The Plan is subject to routine audits by taxing jurisdictions. There are currently no audits in progress for any tax periods. U.S. generally accepted accounting principles require the Plan's management to evaluate uncertain tax positions taken by the Plan. The Plan Administrator has concluded that as of December 31, 2025 and 2024, there are no uncertain tax positions taken or expected to be taken that would require recognition of a liability or disclosure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4"/>
        </w:rPr>
      </w:pPr>
      <w:r>
        <w:rPr>
          <w:rFonts w:ascii="Times New Roman;serif" w:hAnsi="Times New Roman;serif"/>
          <w:b/>
          <w:color w:val="000000"/>
          <w:sz w:val="24"/>
        </w:rPr>
        <w:t>Note 8 – Related Party Transactions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Certain Plan investments in the PepsiCo Master Trust are shares of mutual funds managed by an affiliate of the Trustee. Additionally, the PepsiCo Master Trust holds investments in shares of the Company's common stock in the PepsiCo Common Stock Fund. The fair value of the PepsiCo Master Trust investments in the Company's common stock was approximately $1.1 billion and $1.4 billion as of December 31, 2025 and 2024, respectively. There have been no known prohibited transactions with a party-in-interest.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100" w:after="283"/>
        <w:jc w:val="center"/>
        <w:rPr/>
      </w:pPr>
      <w:r>
        <w:rPr/>
      </w:r>
    </w:p>
    <w:p>
      <w:pPr>
        <w:pStyle w:val="TextBody"/>
        <w:bidi w:val="0"/>
        <w:spacing w:before="120" w:after="283"/>
        <w:jc w:val="center"/>
        <w:rPr/>
      </w:pPr>
      <w:r>
        <w:rPr/>
      </w:r>
    </w:p>
    <w:p>
      <w:pPr>
        <w:pStyle w:val="TextBody"/>
        <w:bidi w:val="0"/>
        <w:spacing w:lineRule="auto" w:line="288" w:before="100" w:after="283"/>
        <w:jc w:val="left"/>
        <w:rPr>
          <w:rFonts w:ascii="Times New Roman;serif" w:hAnsi="Times New Roman;serif"/>
          <w:b/>
          <w:color w:val="000000"/>
          <w:sz w:val="24"/>
        </w:rPr>
      </w:pPr>
      <w:r>
        <w:rPr>
          <w:rFonts w:ascii="Times New Roman;serif" w:hAnsi="Times New Roman;serif"/>
          <w:b/>
          <w:color w:val="000000"/>
          <w:sz w:val="24"/>
        </w:rPr>
        <w:t>Note 9 – Subsequent Events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The SodaStream USA, Inc. 401(k) Profit Sharing Plan and Trust was merged into the Plan effective April 1, 2026. The financial impact of this event (approximately $10.5 million of assets) will be reflected in the 2026 financial statements.</w:t>
      </w:r>
    </w:p>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Plan Administrator has evaluated subsequent events through the date the financial statements were issued and no additional disclosures, other than disclosed above, were required. </w:t>
      </w:r>
    </w:p>
    <w:p>
      <w:pPr>
        <w:pStyle w:val="TextBody"/>
        <w:bidi w:val="0"/>
        <w:spacing w:before="100" w:after="283"/>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Supplemental Schedule H, line 4a – Schedule of Delinquent Participant Contributions</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for the year ended December 31, 2025</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(dollars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36"/>
        <w:gridCol w:w="295"/>
        <w:gridCol w:w="298"/>
        <w:gridCol w:w="109"/>
        <w:gridCol w:w="109"/>
        <w:gridCol w:w="109"/>
        <w:gridCol w:w="803"/>
        <w:gridCol w:w="2509"/>
        <w:gridCol w:w="389"/>
        <w:gridCol w:w="109"/>
        <w:gridCol w:w="109"/>
        <w:gridCol w:w="109"/>
        <w:gridCol w:w="640"/>
        <w:gridCol w:w="1151"/>
        <w:gridCol w:w="311"/>
        <w:gridCol w:w="109"/>
        <w:gridCol w:w="109"/>
        <w:gridCol w:w="109"/>
        <w:gridCol w:w="516"/>
        <w:gridCol w:w="1616"/>
        <w:gridCol w:w="360"/>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Participant Contributions Transferred Late to Plan, including Loan 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Contributions Corrected in VFCP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Contributions Pending Correction in VFCP</w:t>
            </w:r>
          </w:p>
        </w:tc>
      </w:tr>
      <w:tr>
        <w:trPr/>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5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9,520 </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9,520 </w:t>
            </w:r>
          </w:p>
        </w:tc>
        <w:tc>
          <w:tcPr>
            <w:tcW w:w="3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pPr>
      <w:r>
        <w:rPr>
          <w:rFonts w:ascii="Times New Roman;serif" w:hAnsi="Times New Roman;serif"/>
          <w:b w:val="false"/>
          <w:color w:val="000000"/>
          <w:sz w:val="24"/>
        </w:rPr>
        <w:t>See accompanying report of independent registered public accounting firm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Supplemental Schedule H, line 4i – Schedule of Assets (Held at End of Year)</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as of December 31, 2025</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3"/>
        <w:gridCol w:w="750"/>
        <w:gridCol w:w="752"/>
        <w:gridCol w:w="109"/>
        <w:gridCol w:w="109"/>
        <w:gridCol w:w="109"/>
        <w:gridCol w:w="1955"/>
        <w:gridCol w:w="1955"/>
        <w:gridCol w:w="1957"/>
        <w:gridCol w:w="109"/>
        <w:gridCol w:w="109"/>
        <w:gridCol w:w="109"/>
        <w:gridCol w:w="226"/>
        <w:gridCol w:w="946"/>
        <w:gridCol w:w="157"/>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Identity of issuer,</w:t>
              <w:br/>
              <w:t>borrower, lessor, or</w:t>
              <w:br/>
              <w:t>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Description of investment including</w:t>
              <w:br/>
              <w:t>maturity date, rate of interest,</w:t>
              <w:br/>
              <w:t>collateral, par,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Current</w:t>
              <w:br/>
              <w:t>value</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Receivable from Participants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Notes Receivable from Participants (46,417 loans outstanding with interest rates ranging from 3.3% to 10.5% with maturities through 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328,171</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*Party-in-interest as defined by ERISA.</w:t>
      </w:r>
    </w:p>
    <w:p>
      <w:pPr>
        <w:pStyle w:val="TextBody"/>
        <w:bidi w:val="0"/>
        <w:spacing w:lineRule="auto" w:line="288" w:before="180" w:after="283"/>
        <w:jc w:val="both"/>
        <w:rPr/>
      </w:pPr>
      <w:r>
        <w:rPr>
          <w:rFonts w:ascii="Times New Roman;serif" w:hAnsi="Times New Roman;serif"/>
          <w:b w:val="false"/>
          <w:color w:val="000000"/>
          <w:sz w:val="24"/>
        </w:rPr>
        <w:t>See accompanying report of independent registered public accounting firm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221" w:type="dxa"/>
        <w:jc w:val="left"/>
        <w:tblInd w:w="0" w:type="dxa"/>
        <w:tblLayout w:type="fixed"/>
        <w:tblCellMar>
          <w:top w:w="28" w:type="dxa"/>
          <w:left w:w="28" w:type="dxa"/>
          <w:bottom w:w="28" w:type="dxa"/>
          <w:right w:w="28" w:type="dxa"/>
        </w:tblCellMar>
      </w:tblPr>
      <w:tblGrid>
        <w:gridCol w:w="732"/>
        <w:gridCol w:w="645"/>
        <w:gridCol w:w="648"/>
        <w:gridCol w:w="109"/>
        <w:gridCol w:w="109"/>
        <w:gridCol w:w="109"/>
        <w:gridCol w:w="109"/>
        <w:gridCol w:w="109"/>
        <w:gridCol w:w="109"/>
        <w:gridCol w:w="109"/>
        <w:gridCol w:w="109"/>
        <w:gridCol w:w="109"/>
        <w:gridCol w:w="1234"/>
        <w:gridCol w:w="1234"/>
        <w:gridCol w:w="1747"/>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June 18,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PEPSICO SAVINGS PLAN</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Anna Xanthos</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Anna Xanthos</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Chair, PepsiCo Administration Committee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PEPSICO SAVINGS PLAN</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Index to Exhibit</w:t>
      </w:r>
    </w:p>
    <w:tbl>
      <w:tblPr>
        <w:tblW w:w="6747" w:type="dxa"/>
        <w:jc w:val="left"/>
        <w:tblInd w:w="0" w:type="dxa"/>
        <w:tblLayout w:type="fixed"/>
        <w:tblCellMar>
          <w:top w:w="28" w:type="dxa"/>
          <w:left w:w="28" w:type="dxa"/>
          <w:bottom w:w="28" w:type="dxa"/>
          <w:right w:w="28" w:type="dxa"/>
        </w:tblCellMar>
      </w:tblPr>
      <w:tblGrid>
        <w:gridCol w:w="196"/>
        <w:gridCol w:w="172"/>
        <w:gridCol w:w="173"/>
        <w:gridCol w:w="1943"/>
        <w:gridCol w:w="1943"/>
        <w:gridCol w:w="1948"/>
        <w:gridCol w:w="109"/>
        <w:gridCol w:w="109"/>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23.1</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Consent of Independent Registered Public Accounting Firm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65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23.1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registration statements (No. 2-82645, No. 33-51514, No. 33-60965, No. 333-65992, No. 333-76204, No. 333-66634, No. 333</w:t>
        <w:noBreakHyphen/>
        <w:t>165106, No. 333-89265, No. 333-76196, No. 333-150867, and No. 333-150868) on Form S-8 of our report dated June 18, 2026, with respect to the financial statements of The PepsiCo Savings Plan.</w:t>
      </w:r>
    </w:p>
    <w:p>
      <w:pPr>
        <w:pStyle w:val="TextBody"/>
        <w:bidi w:val="0"/>
        <w:spacing w:lineRule="auto" w:line="288" w:before="0" w:after="0"/>
        <w:ind w:left="0" w:right="0" w:hanging="810"/>
        <w:jc w:val="center"/>
        <w:rPr/>
      </w:pPr>
      <w:r>
        <w:rPr>
          <w:rFonts w:ascii="Times New Roman;serif" w:hAnsi="Times New Roman;serif"/>
          <w:b w:val="false"/>
          <w:color w:val="000000"/>
          <w:sz w:val="24"/>
        </w:rPr>
        <w:t>/s/ KPMG LLP</w:t>
      </w:r>
      <w:r>
        <w:rPr>
          <w:color w:val="000000"/>
        </w:rPr>
        <w:t xml:space="preserve"> </w:t>
      </w:r>
    </w:p>
    <w:p>
      <w:pPr>
        <w:pStyle w:val="TextBody"/>
        <w:bidi w:val="0"/>
        <w:spacing w:before="0" w:after="0"/>
        <w:ind w:left="0" w:right="0" w:hanging="6570"/>
        <w:jc w:val="left"/>
        <w:rPr/>
      </w:pPr>
      <w:r>
        <w:rPr/>
      </w:r>
    </w:p>
    <w:p>
      <w:pPr>
        <w:pStyle w:val="TextBody"/>
        <w:bidi w:val="0"/>
        <w:spacing w:before="0" w:after="0"/>
        <w:ind w:left="0" w:right="0" w:hanging="6570"/>
        <w:jc w:val="left"/>
        <w:rPr/>
      </w:pPr>
      <w:r>
        <w:rPr/>
      </w:r>
    </w:p>
    <w:p>
      <w:pPr>
        <w:pStyle w:val="TextBody"/>
        <w:bidi w:val="0"/>
        <w:spacing w:lineRule="auto" w:line="288" w:before="0" w:after="0"/>
        <w:ind w:left="0" w:right="0" w:hanging="6570"/>
        <w:jc w:val="left"/>
        <w:rPr>
          <w:rFonts w:ascii="Times New Roman;serif" w:hAnsi="Times New Roman;serif"/>
          <w:b w:val="false"/>
          <w:color w:val="000000"/>
          <w:sz w:val="24"/>
        </w:rPr>
      </w:pPr>
      <w:r>
        <w:rPr>
          <w:rFonts w:ascii="Times New Roman;serif" w:hAnsi="Times New Roman;serif"/>
          <w:b w:val="false"/>
          <w:color w:val="000000"/>
          <w:sz w:val="24"/>
        </w:rPr>
        <w:t>New York, New York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June 18, 2026</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4627</Words>
  <Characters>25962</Characters>
  <CharactersWithSpaces>30362</CharactersWithSpaces>
  <Paragraphs>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